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6EC6" w14:textId="26AE43A5" w:rsidR="004F1389" w:rsidRPr="00D5300C" w:rsidRDefault="004F1389" w:rsidP="008F00C7">
      <w:pPr>
        <w:shd w:val="clear" w:color="auto" w:fill="FFFFFF"/>
        <w:spacing w:after="0" w:line="360" w:lineRule="auto"/>
        <w:ind w:firstLine="375"/>
        <w:jc w:val="right"/>
        <w:rPr>
          <w:rStyle w:val="Strong"/>
          <w:rFonts w:ascii="GHEA Grapalat" w:hAnsi="GHEA Grapalat" w:cs="Arial"/>
          <w:color w:val="000000"/>
          <w:sz w:val="20"/>
          <w:szCs w:val="20"/>
          <w:lang w:val="hy-AM"/>
        </w:rPr>
      </w:pPr>
      <w:bookmarkStart w:id="0" w:name="_Hlk120217054"/>
      <w:bookmarkStart w:id="1" w:name="_GoBack"/>
      <w:bookmarkEnd w:id="1"/>
      <w:r w:rsidRPr="00D5300C">
        <w:rPr>
          <w:rStyle w:val="Strong"/>
          <w:rFonts w:ascii="GHEA Grapalat" w:hAnsi="GHEA Grapalat" w:cs="Arial"/>
          <w:color w:val="000000"/>
          <w:sz w:val="20"/>
          <w:szCs w:val="20"/>
          <w:lang w:val="hy-AM"/>
        </w:rPr>
        <w:t>Հավելված</w:t>
      </w:r>
    </w:p>
    <w:p w14:paraId="14804FCA" w14:textId="77777777" w:rsidR="004F1389" w:rsidRPr="00D5300C" w:rsidRDefault="004F1389" w:rsidP="004F138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 w:eastAsia="ru-RU"/>
        </w:rPr>
      </w:pPr>
      <w:r w:rsidRPr="00D5300C">
        <w:rPr>
          <w:rFonts w:ascii="GHEA Grapalat" w:hAnsi="GHEA Grapalat" w:cs="Arial"/>
          <w:b/>
          <w:sz w:val="20"/>
          <w:szCs w:val="20"/>
          <w:lang w:val="hy-AM" w:eastAsia="ru-RU"/>
        </w:rPr>
        <w:t>ՀՀ կառավարության 202</w:t>
      </w:r>
      <w:r w:rsidRPr="008F00C7">
        <w:rPr>
          <w:rFonts w:ascii="GHEA Grapalat" w:hAnsi="GHEA Grapalat" w:cs="Arial"/>
          <w:b/>
          <w:sz w:val="20"/>
          <w:szCs w:val="20"/>
          <w:lang w:val="hy-AM" w:eastAsia="ru-RU"/>
        </w:rPr>
        <w:t>2</w:t>
      </w:r>
      <w:r w:rsidRPr="00D5300C">
        <w:rPr>
          <w:rFonts w:ascii="GHEA Grapalat" w:hAnsi="GHEA Grapalat" w:cs="Arial"/>
          <w:b/>
          <w:sz w:val="20"/>
          <w:szCs w:val="20"/>
          <w:lang w:val="hy-AM" w:eastAsia="ru-RU"/>
        </w:rPr>
        <w:t xml:space="preserve"> թվականի</w:t>
      </w:r>
    </w:p>
    <w:p w14:paraId="1981B228" w14:textId="77777777" w:rsidR="004F1389" w:rsidRPr="00D5300C" w:rsidRDefault="004F1389" w:rsidP="004F1389">
      <w:pPr>
        <w:spacing w:after="0" w:line="240" w:lineRule="auto"/>
        <w:jc w:val="right"/>
        <w:rPr>
          <w:rFonts w:ascii="GHEA Grapalat" w:hAnsi="GHEA Grapalat" w:cs="Arial"/>
          <w:b/>
          <w:sz w:val="20"/>
          <w:szCs w:val="20"/>
          <w:lang w:val="hy-AM"/>
        </w:rPr>
      </w:pPr>
      <w:r w:rsidRPr="00D5300C">
        <w:rPr>
          <w:rFonts w:ascii="GHEA Grapalat" w:hAnsi="GHEA Grapalat" w:cs="Arial"/>
          <w:b/>
          <w:sz w:val="20"/>
          <w:szCs w:val="20"/>
          <w:lang w:val="hy-AM"/>
        </w:rPr>
        <w:t>______________ -ի N----Լ որոշման</w:t>
      </w:r>
    </w:p>
    <w:p w14:paraId="1F9C5DBC" w14:textId="77777777" w:rsidR="004F1389" w:rsidRPr="00D5300C" w:rsidRDefault="004F1389" w:rsidP="004F1389">
      <w:pPr>
        <w:spacing w:after="0" w:line="360" w:lineRule="auto"/>
        <w:jc w:val="right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p w14:paraId="4CC4A76C" w14:textId="77777777" w:rsidR="004F1389" w:rsidRPr="00D5300C" w:rsidRDefault="004F1389" w:rsidP="004F1389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D5300C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Հ Ա Յ Ե Ց Ա Կ Ա Ր Գ</w:t>
      </w:r>
    </w:p>
    <w:p w14:paraId="2F57C7EE" w14:textId="77777777" w:rsidR="004F1389" w:rsidRPr="00D5300C" w:rsidRDefault="004F1389" w:rsidP="004F13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000000"/>
          <w:lang w:val="hy-AM"/>
        </w:rPr>
      </w:pPr>
      <w:r w:rsidRPr="00D5300C">
        <w:rPr>
          <w:rStyle w:val="Strong"/>
          <w:rFonts w:ascii="Calibri" w:hAnsi="Calibri" w:cs="Calibri"/>
          <w:color w:val="000000"/>
          <w:lang w:val="hy-AM"/>
        </w:rPr>
        <w:t> </w:t>
      </w:r>
    </w:p>
    <w:p w14:paraId="559DCC4D" w14:textId="77777777" w:rsidR="004F1389" w:rsidRPr="00D5300C" w:rsidRDefault="004F1389" w:rsidP="004F13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color w:val="000000"/>
          <w:lang w:val="hy-AM"/>
        </w:rPr>
      </w:pPr>
      <w:r w:rsidRPr="00D5300C">
        <w:rPr>
          <w:rStyle w:val="Strong"/>
          <w:rFonts w:ascii="GHEA Grapalat" w:hAnsi="GHEA Grapalat" w:cs="Arial"/>
          <w:color w:val="000000"/>
          <w:lang w:val="hy-AM"/>
        </w:rPr>
        <w:t>ԱՌՈՂՋՈՒԹՅԱՆ ՀԱՄԱՊԱՐՓԱԿ ԱՊԱՀՈՎԱԳՐՈՒԹՅԱՆ ՆԵՐԴՐՄԱՆ</w:t>
      </w:r>
    </w:p>
    <w:p w14:paraId="21B393D2" w14:textId="77777777" w:rsidR="004F1389" w:rsidRPr="00D5300C" w:rsidRDefault="004F1389" w:rsidP="004F1389">
      <w:pPr>
        <w:spacing w:after="0" w:line="360" w:lineRule="auto"/>
        <w:jc w:val="center"/>
        <w:rPr>
          <w:rStyle w:val="Strong"/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sdt>
      <w:sdtPr>
        <w:rPr>
          <w:rFonts w:ascii="GHEA Grapalat" w:eastAsiaTheme="minorHAnsi" w:hAnsi="GHEA Grapalat" w:cs="Arial"/>
          <w:b/>
          <w:bCs/>
          <w:color w:val="auto"/>
          <w:sz w:val="22"/>
          <w:szCs w:val="22"/>
          <w:lang w:val="en-US" w:eastAsia="en-US"/>
        </w:rPr>
        <w:id w:val="802050719"/>
        <w:docPartObj>
          <w:docPartGallery w:val="Table of Contents"/>
          <w:docPartUnique/>
        </w:docPartObj>
      </w:sdtPr>
      <w:sdtEndPr/>
      <w:sdtContent>
        <w:p w14:paraId="013A9DB5" w14:textId="77777777" w:rsidR="004F1389" w:rsidRPr="00D5300C" w:rsidRDefault="004F1389" w:rsidP="004F1389">
          <w:pPr>
            <w:pStyle w:val="TOCHeading"/>
            <w:spacing w:before="0" w:line="360" w:lineRule="auto"/>
            <w:rPr>
              <w:rFonts w:ascii="GHEA Grapalat" w:hAnsi="GHEA Grapalat" w:cs="Arial"/>
              <w:lang w:val="hy-AM"/>
            </w:rPr>
          </w:pPr>
          <w:r w:rsidRPr="00D5300C">
            <w:rPr>
              <w:rFonts w:ascii="GHEA Grapalat" w:hAnsi="GHEA Grapalat" w:cs="Arial"/>
              <w:lang w:val="hy-AM"/>
            </w:rPr>
            <w:t>Բովանդակություն</w:t>
          </w:r>
        </w:p>
        <w:p w14:paraId="73CC9A94" w14:textId="61527BDE" w:rsidR="005F61BB" w:rsidRDefault="004F1389">
          <w:pPr>
            <w:pStyle w:val="TOC1"/>
            <w:tabs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r w:rsidRPr="00D5300C">
            <w:rPr>
              <w:rFonts w:ascii="GHEA Grapalat" w:hAnsi="GHEA Grapalat" w:cs="Arial"/>
            </w:rPr>
            <w:fldChar w:fldCharType="begin"/>
          </w:r>
          <w:r w:rsidRPr="00D5300C">
            <w:rPr>
              <w:rFonts w:ascii="GHEA Grapalat" w:hAnsi="GHEA Grapalat" w:cs="Arial"/>
            </w:rPr>
            <w:instrText xml:space="preserve"> TOC \o "1-3" \h \z \u </w:instrText>
          </w:r>
          <w:r w:rsidRPr="00D5300C">
            <w:rPr>
              <w:rFonts w:ascii="GHEA Grapalat" w:hAnsi="GHEA Grapalat" w:cs="Arial"/>
            </w:rPr>
            <w:fldChar w:fldCharType="separate"/>
          </w:r>
          <w:hyperlink w:anchor="_Toc122522077" w:history="1">
            <w:r w:rsidR="005F61BB" w:rsidRPr="0068160B">
              <w:rPr>
                <w:rStyle w:val="Hyperlink"/>
                <w:rFonts w:ascii="GHEA Grapalat" w:hAnsi="GHEA Grapalat" w:cs="Arial"/>
                <w:noProof/>
              </w:rPr>
              <w:t>Օգտագործված հապավումներ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_Toc122522077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3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0B531C9A" w14:textId="26DAE417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78" w:history="1">
            <w:r w:rsidR="005F61BB" w:rsidRPr="0068160B">
              <w:rPr>
                <w:rStyle w:val="Hyperlink"/>
                <w:rFonts w:ascii="GHEA Grapalat" w:hAnsi="GHEA Grapalat"/>
                <w:noProof/>
              </w:rPr>
              <w:t>1.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/>
                <w:noProof/>
              </w:rPr>
              <w:t>Ամփոփ նկարագիր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_Toc122522078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4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0E7CE4BD" w14:textId="271AB943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79" w:history="1">
            <w:r w:rsidR="005F61BB" w:rsidRPr="0068160B">
              <w:rPr>
                <w:rStyle w:val="Hyperlink"/>
                <w:rFonts w:ascii="GHEA Grapalat" w:hAnsi="GHEA Grapalat" w:cs="Arial"/>
                <w:noProof/>
                <w:lang w:val="hy-AM"/>
              </w:rPr>
              <w:t>2.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 w:cs="Arial"/>
                <w:noProof/>
                <w:lang w:val="hy-AM"/>
              </w:rPr>
              <w:t>Առկա իրավիճակը և խնդիրները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_Toc122522079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4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685FE140" w14:textId="406415A0" w:rsidR="005F61BB" w:rsidRDefault="00182AEE">
          <w:pPr>
            <w:pStyle w:val="TOC1"/>
            <w:tabs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0" w:history="1">
            <w:r w:rsidR="005F61BB" w:rsidRPr="0068160B">
              <w:rPr>
                <w:rStyle w:val="Hyperlink"/>
                <w:rFonts w:ascii="GHEA Grapalat" w:hAnsi="GHEA Grapalat"/>
                <w:noProof/>
              </w:rPr>
              <w:t xml:space="preserve">3. </w:t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ԱՀԱ ծածկույթի նկարագրությունը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_Toc122522080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7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4151561A" w14:textId="4D8710EF" w:rsidR="005F61BB" w:rsidRDefault="00182AEE">
          <w:pPr>
            <w:pStyle w:val="TOC1"/>
            <w:tabs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1" w:history="1">
            <w:r w:rsidR="005F61BB" w:rsidRPr="0068160B">
              <w:rPr>
                <w:rStyle w:val="Hyperlink"/>
                <w:rFonts w:ascii="GHEA Grapalat" w:hAnsi="GHEA Grapalat"/>
                <w:noProof/>
              </w:rPr>
              <w:t xml:space="preserve">3.1 </w:t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Բնակչություն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_Toc122522081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7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6860F4F7" w14:textId="4A115F59" w:rsidR="005F61BB" w:rsidRDefault="00182AEE">
          <w:pPr>
            <w:pStyle w:val="TOC1"/>
            <w:tabs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2" w:history="1">
            <w:r w:rsidR="005F61BB" w:rsidRPr="0068160B">
              <w:rPr>
                <w:rStyle w:val="Hyperlink"/>
                <w:rFonts w:ascii="GHEA Grapalat" w:hAnsi="GHEA Grapalat"/>
                <w:noProof/>
              </w:rPr>
              <w:t xml:space="preserve">4.2 </w:t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Ծառայություններ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_Toc122522082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8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6AA2998B" w14:textId="22163D29" w:rsidR="005F61BB" w:rsidRDefault="00182AEE">
          <w:pPr>
            <w:pStyle w:val="TOC1"/>
            <w:tabs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3" w:history="1">
            <w:r w:rsidR="005F61BB" w:rsidRPr="0068160B">
              <w:rPr>
                <w:rStyle w:val="Hyperlink"/>
                <w:rFonts w:ascii="GHEA Grapalat" w:hAnsi="GHEA Grapalat"/>
                <w:noProof/>
              </w:rPr>
              <w:t>4.3. Ծախսեր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_Toc122522083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9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7AE96653" w14:textId="1177B43B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4" w:history="1"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5.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ԱՀԱ-ի ֆինանսական միջոցները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_Toc122522084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9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67076F84" w14:textId="409A1A6A" w:rsidR="005F61BB" w:rsidRDefault="00182AEE">
          <w:pPr>
            <w:pStyle w:val="TOC1"/>
            <w:tabs>
              <w:tab w:val="left" w:pos="66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5" w:history="1"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5.1.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ԱՀԱ-ի ֆինանսական միջոցների հավաքագրումը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_Toc122522085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11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234E146A" w14:textId="784A6262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6" w:history="1"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6.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Կառավարումը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_Toc122522086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11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0571EAD9" w14:textId="18E9FB69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7" w:history="1"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7.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/>
                <w:noProof/>
                <w:lang w:val="hy-AM"/>
              </w:rPr>
              <w:t>Ծառայությունների փոխհատուցումը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_Toc122522087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13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7E4B2D1E" w14:textId="0B6E094F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8" w:history="1">
            <w:r w:rsidR="005F61BB" w:rsidRPr="0068160B">
              <w:rPr>
                <w:rStyle w:val="Hyperlink"/>
                <w:rFonts w:ascii="GHEA Grapalat" w:eastAsia="Times New Roman" w:hAnsi="GHEA Grapalat" w:cs="Arial"/>
                <w:iCs/>
                <w:noProof/>
                <w:lang w:val="hy-AM"/>
              </w:rPr>
              <w:t>8.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eastAsia="Times New Roman" w:hAnsi="GHEA Grapalat" w:cs="Arial"/>
                <w:iCs/>
                <w:noProof/>
                <w:lang w:val="hy-AM"/>
              </w:rPr>
              <w:t>ԱՀԱ ֆինանսական կայունությունը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_Toc122522088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15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250ED122" w14:textId="1AEDC6C4" w:rsidR="005F61BB" w:rsidRDefault="00182AEE">
          <w:pPr>
            <w:pStyle w:val="TOC1"/>
            <w:tabs>
              <w:tab w:val="left" w:pos="44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89" w:history="1">
            <w:r w:rsidR="005F61BB" w:rsidRPr="0068160B">
              <w:rPr>
                <w:rStyle w:val="Hyperlink"/>
                <w:rFonts w:ascii="GHEA Grapalat" w:hAnsi="GHEA Grapalat" w:cs="Arial"/>
                <w:iCs/>
                <w:noProof/>
                <w:lang w:val="hy-AM"/>
              </w:rPr>
              <w:t>9.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 w:cs="Arial"/>
                <w:iCs/>
                <w:noProof/>
                <w:lang w:val="hy-AM"/>
              </w:rPr>
              <w:t>Հաշվետվողականություն, մոնիտորինգ և վերահսկում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_Toc122522089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16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4479DB4B" w14:textId="3CA9AAF8" w:rsidR="005F61BB" w:rsidRDefault="00182AEE">
          <w:pPr>
            <w:pStyle w:val="TOC1"/>
            <w:tabs>
              <w:tab w:val="left" w:pos="660"/>
              <w:tab w:val="right" w:leader="dot" w:pos="9876"/>
            </w:tabs>
            <w:rPr>
              <w:rFonts w:eastAsiaTheme="minorEastAsia"/>
              <w:noProof/>
              <w:lang w:eastAsia="ru-RU"/>
            </w:rPr>
          </w:pPr>
          <w:hyperlink w:anchor="_Toc122522090" w:history="1">
            <w:r w:rsidR="005F61BB" w:rsidRPr="0068160B">
              <w:rPr>
                <w:rStyle w:val="Hyperlink"/>
                <w:rFonts w:ascii="GHEA Grapalat" w:hAnsi="GHEA Grapalat" w:cs="Arial"/>
                <w:noProof/>
                <w:lang w:val="hy-AM"/>
              </w:rPr>
              <w:t>10.</w:t>
            </w:r>
            <w:r w:rsidR="005F61BB">
              <w:rPr>
                <w:rFonts w:eastAsiaTheme="minorEastAsia"/>
                <w:noProof/>
                <w:lang w:eastAsia="ru-RU"/>
              </w:rPr>
              <w:tab/>
            </w:r>
            <w:r w:rsidR="005F61BB" w:rsidRPr="0068160B">
              <w:rPr>
                <w:rStyle w:val="Hyperlink"/>
                <w:rFonts w:ascii="GHEA Grapalat" w:hAnsi="GHEA Grapalat" w:cs="Arial"/>
                <w:noProof/>
                <w:lang w:val="hy-AM"/>
              </w:rPr>
              <w:t>Առողջապահական համակարգի պատրաստվածությունը ԱՀԱ ներդրմանը</w:t>
            </w:r>
            <w:r w:rsidR="005F61BB">
              <w:rPr>
                <w:noProof/>
                <w:webHidden/>
              </w:rPr>
              <w:tab/>
            </w:r>
            <w:r w:rsidR="005F61BB">
              <w:rPr>
                <w:noProof/>
                <w:webHidden/>
              </w:rPr>
              <w:fldChar w:fldCharType="begin"/>
            </w:r>
            <w:r w:rsidR="005F61BB">
              <w:rPr>
                <w:noProof/>
                <w:webHidden/>
              </w:rPr>
              <w:instrText xml:space="preserve"> PAGEREF _Toc122522090 \h </w:instrText>
            </w:r>
            <w:r w:rsidR="005F61BB">
              <w:rPr>
                <w:noProof/>
                <w:webHidden/>
              </w:rPr>
            </w:r>
            <w:r w:rsidR="005F61BB">
              <w:rPr>
                <w:noProof/>
                <w:webHidden/>
              </w:rPr>
              <w:fldChar w:fldCharType="separate"/>
            </w:r>
            <w:r w:rsidR="005F61BB">
              <w:rPr>
                <w:noProof/>
                <w:webHidden/>
              </w:rPr>
              <w:t>18</w:t>
            </w:r>
            <w:r w:rsidR="005F61BB">
              <w:rPr>
                <w:noProof/>
                <w:webHidden/>
              </w:rPr>
              <w:fldChar w:fldCharType="end"/>
            </w:r>
          </w:hyperlink>
        </w:p>
        <w:p w14:paraId="1F6421C2" w14:textId="11DEB333" w:rsidR="004F1389" w:rsidRPr="00D5300C" w:rsidRDefault="004F1389" w:rsidP="004F1389">
          <w:pPr>
            <w:spacing w:after="0" w:line="360" w:lineRule="auto"/>
            <w:rPr>
              <w:rFonts w:ascii="GHEA Grapalat" w:hAnsi="GHEA Grapalat" w:cs="Arial"/>
            </w:rPr>
          </w:pPr>
          <w:r w:rsidRPr="00D5300C">
            <w:rPr>
              <w:rFonts w:ascii="GHEA Grapalat" w:hAnsi="GHEA Grapalat" w:cs="Arial"/>
              <w:b/>
              <w:bCs/>
            </w:rPr>
            <w:fldChar w:fldCharType="end"/>
          </w:r>
        </w:p>
      </w:sdtContent>
    </w:sdt>
    <w:p w14:paraId="5F6FD742" w14:textId="77777777" w:rsidR="004F1389" w:rsidRDefault="004F1389" w:rsidP="004F1389">
      <w:pPr>
        <w:rPr>
          <w:rFonts w:ascii="GHEA Grapalat" w:eastAsiaTheme="majorEastAsia" w:hAnsi="GHEA Grapalat" w:cs="Arial"/>
          <w:color w:val="2F5496" w:themeColor="accent1" w:themeShade="BF"/>
          <w:sz w:val="24"/>
          <w:szCs w:val="24"/>
          <w:lang w:eastAsia="ru-RU"/>
        </w:rPr>
      </w:pPr>
      <w:bookmarkStart w:id="2" w:name="_Toc9283740"/>
      <w:bookmarkStart w:id="3" w:name="_Toc522833310"/>
      <w:r>
        <w:rPr>
          <w:rFonts w:ascii="GHEA Grapalat" w:hAnsi="GHEA Grapalat" w:cs="Arial"/>
          <w:sz w:val="24"/>
          <w:szCs w:val="24"/>
        </w:rPr>
        <w:br w:type="page"/>
      </w:r>
    </w:p>
    <w:p w14:paraId="60A1D943" w14:textId="77777777" w:rsidR="004F1389" w:rsidRPr="004A2367" w:rsidRDefault="004F1389" w:rsidP="004F1389">
      <w:pPr>
        <w:pStyle w:val="Heading1"/>
        <w:spacing w:before="0" w:line="276" w:lineRule="auto"/>
        <w:rPr>
          <w:rFonts w:ascii="GHEA Grapalat" w:hAnsi="GHEA Grapalat" w:cs="Arial"/>
          <w:sz w:val="24"/>
          <w:szCs w:val="24"/>
        </w:rPr>
      </w:pPr>
      <w:bookmarkStart w:id="4" w:name="_Toc122522077"/>
      <w:r w:rsidRPr="004A2367">
        <w:rPr>
          <w:rFonts w:ascii="GHEA Grapalat" w:hAnsi="GHEA Grapalat" w:cs="Arial"/>
          <w:sz w:val="24"/>
          <w:szCs w:val="24"/>
        </w:rPr>
        <w:lastRenderedPageBreak/>
        <w:t>Օգտագործված հապավումներ</w:t>
      </w:r>
      <w:bookmarkEnd w:id="2"/>
      <w:bookmarkEnd w:id="3"/>
      <w:bookmarkEnd w:id="4"/>
    </w:p>
    <w:tbl>
      <w:tblPr>
        <w:tblStyle w:val="TableGrid"/>
        <w:tblW w:w="9463" w:type="dxa"/>
        <w:tblInd w:w="-108" w:type="dxa"/>
        <w:tblLook w:val="04A0" w:firstRow="1" w:lastRow="0" w:firstColumn="1" w:lastColumn="0" w:noHBand="0" w:noVBand="1"/>
      </w:tblPr>
      <w:tblGrid>
        <w:gridCol w:w="1031"/>
        <w:gridCol w:w="1118"/>
        <w:gridCol w:w="7314"/>
      </w:tblGrid>
      <w:tr w:rsidR="004F1389" w:rsidRPr="004A2367" w14:paraId="049ADAA8" w14:textId="77777777" w:rsidTr="00093BFC">
        <w:trPr>
          <w:trHeight w:val="351"/>
        </w:trPr>
        <w:tc>
          <w:tcPr>
            <w:tcW w:w="1031" w:type="dxa"/>
          </w:tcPr>
          <w:p w14:paraId="4FDEBBEE" w14:textId="71AF43A0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14:paraId="2EDC8595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ԱԱՊ</w:t>
            </w:r>
          </w:p>
        </w:tc>
        <w:tc>
          <w:tcPr>
            <w:tcW w:w="7314" w:type="dxa"/>
            <w:shd w:val="clear" w:color="auto" w:fill="auto"/>
          </w:tcPr>
          <w:p w14:paraId="5CFD8316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Առողջության առաջնային պահպանում</w:t>
            </w:r>
          </w:p>
        </w:tc>
      </w:tr>
      <w:tr w:rsidR="004F1389" w:rsidRPr="004A2367" w14:paraId="6FD10073" w14:textId="77777777" w:rsidTr="00093BFC">
        <w:trPr>
          <w:trHeight w:val="351"/>
        </w:trPr>
        <w:tc>
          <w:tcPr>
            <w:tcW w:w="1031" w:type="dxa"/>
          </w:tcPr>
          <w:p w14:paraId="43C31594" w14:textId="1912D120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2E1FB199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ԱՀԱ</w:t>
            </w:r>
          </w:p>
        </w:tc>
        <w:tc>
          <w:tcPr>
            <w:tcW w:w="7314" w:type="dxa"/>
            <w:shd w:val="clear" w:color="auto" w:fill="auto"/>
          </w:tcPr>
          <w:p w14:paraId="10ED0477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Առողջության համապարփակ ապահովագրություն</w:t>
            </w:r>
          </w:p>
        </w:tc>
      </w:tr>
      <w:tr w:rsidR="004F1389" w:rsidRPr="004A2367" w14:paraId="342981EB" w14:textId="77777777" w:rsidTr="00093BFC">
        <w:trPr>
          <w:trHeight w:val="279"/>
        </w:trPr>
        <w:tc>
          <w:tcPr>
            <w:tcW w:w="1031" w:type="dxa"/>
          </w:tcPr>
          <w:p w14:paraId="400B36F6" w14:textId="1091C27E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14:paraId="09484686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ԱՀԿ</w:t>
            </w:r>
          </w:p>
        </w:tc>
        <w:tc>
          <w:tcPr>
            <w:tcW w:w="7314" w:type="dxa"/>
            <w:shd w:val="clear" w:color="auto" w:fill="auto"/>
          </w:tcPr>
          <w:p w14:paraId="34C63D46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Առողջապահության </w:t>
            </w:r>
            <w:r w:rsidRPr="004A2367">
              <w:rPr>
                <w:rFonts w:ascii="GHEA Grapalat" w:hAnsi="GHEA Grapalat" w:cs="Arial"/>
                <w:sz w:val="24"/>
                <w:szCs w:val="24"/>
                <w:lang w:val="ru-RU"/>
              </w:rPr>
              <w:t>համաշխարհային</w:t>
            </w: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կազմակերպություն</w:t>
            </w:r>
          </w:p>
        </w:tc>
      </w:tr>
      <w:tr w:rsidR="004F1389" w:rsidRPr="004A2367" w14:paraId="5899161C" w14:textId="77777777" w:rsidTr="00093BFC">
        <w:trPr>
          <w:trHeight w:val="270"/>
        </w:trPr>
        <w:tc>
          <w:tcPr>
            <w:tcW w:w="1031" w:type="dxa"/>
          </w:tcPr>
          <w:p w14:paraId="0EAFE092" w14:textId="05C88B5B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14:paraId="0C46F62B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ԱՆ</w:t>
            </w:r>
          </w:p>
        </w:tc>
        <w:tc>
          <w:tcPr>
            <w:tcW w:w="7314" w:type="dxa"/>
            <w:shd w:val="clear" w:color="auto" w:fill="auto"/>
          </w:tcPr>
          <w:p w14:paraId="195E7AC8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ՀՀ Ա</w:t>
            </w:r>
            <w:r w:rsidRPr="004A2367">
              <w:rPr>
                <w:rFonts w:ascii="GHEA Grapalat" w:hAnsi="GHEA Grapalat" w:cs="Arial"/>
                <w:sz w:val="24"/>
                <w:szCs w:val="24"/>
                <w:lang w:val="ru-RU"/>
              </w:rPr>
              <w:t>ռողջապահության նախարարություն</w:t>
            </w:r>
          </w:p>
        </w:tc>
      </w:tr>
      <w:tr w:rsidR="004F1389" w:rsidRPr="004A2367" w14:paraId="725785C3" w14:textId="77777777" w:rsidTr="00093BFC">
        <w:trPr>
          <w:trHeight w:val="360"/>
        </w:trPr>
        <w:tc>
          <w:tcPr>
            <w:tcW w:w="1031" w:type="dxa"/>
          </w:tcPr>
          <w:p w14:paraId="0830A5D8" w14:textId="29DB6255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</w:t>
            </w:r>
          </w:p>
        </w:tc>
        <w:tc>
          <w:tcPr>
            <w:tcW w:w="1118" w:type="dxa"/>
            <w:shd w:val="clear" w:color="auto" w:fill="auto"/>
            <w:hideMark/>
          </w:tcPr>
          <w:p w14:paraId="4D56F4A2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ԲՆԱ</w:t>
            </w:r>
          </w:p>
        </w:tc>
        <w:tc>
          <w:tcPr>
            <w:tcW w:w="7314" w:type="dxa"/>
            <w:shd w:val="clear" w:color="auto" w:fill="auto"/>
            <w:hideMark/>
          </w:tcPr>
          <w:p w14:paraId="1BF3C84A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Բժշկական նշանակության ապրանք</w:t>
            </w:r>
          </w:p>
        </w:tc>
      </w:tr>
      <w:tr w:rsidR="004F1389" w:rsidRPr="004A2367" w14:paraId="665C0678" w14:textId="77777777" w:rsidTr="00093BFC">
        <w:trPr>
          <w:trHeight w:val="351"/>
        </w:trPr>
        <w:tc>
          <w:tcPr>
            <w:tcW w:w="1031" w:type="dxa"/>
          </w:tcPr>
          <w:p w14:paraId="0AA68E40" w14:textId="3BF5DAEE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</w:t>
            </w:r>
          </w:p>
        </w:tc>
        <w:tc>
          <w:tcPr>
            <w:tcW w:w="1118" w:type="dxa"/>
            <w:shd w:val="clear" w:color="auto" w:fill="auto"/>
            <w:hideMark/>
          </w:tcPr>
          <w:p w14:paraId="32ABD770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</w:p>
        </w:tc>
        <w:tc>
          <w:tcPr>
            <w:tcW w:w="7314" w:type="dxa"/>
            <w:shd w:val="clear" w:color="auto" w:fill="auto"/>
            <w:hideMark/>
          </w:tcPr>
          <w:p w14:paraId="0574A148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Հանրապետություն</w:t>
            </w:r>
          </w:p>
        </w:tc>
      </w:tr>
      <w:tr w:rsidR="004F1389" w:rsidRPr="004A2367" w14:paraId="1FCAE721" w14:textId="77777777" w:rsidTr="00093BFC">
        <w:trPr>
          <w:trHeight w:val="369"/>
        </w:trPr>
        <w:tc>
          <w:tcPr>
            <w:tcW w:w="1031" w:type="dxa"/>
          </w:tcPr>
          <w:p w14:paraId="73711616" w14:textId="7A5F073D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14:paraId="54694ACB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ՀՆԱ</w:t>
            </w:r>
          </w:p>
        </w:tc>
        <w:tc>
          <w:tcPr>
            <w:tcW w:w="7314" w:type="dxa"/>
            <w:shd w:val="clear" w:color="auto" w:fill="auto"/>
          </w:tcPr>
          <w:p w14:paraId="666730E0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Համախառն ներքին արդյունք</w:t>
            </w:r>
          </w:p>
        </w:tc>
      </w:tr>
      <w:tr w:rsidR="004F1389" w:rsidRPr="004A2367" w14:paraId="04AD2DC3" w14:textId="77777777" w:rsidTr="00093BFC">
        <w:trPr>
          <w:trHeight w:val="459"/>
        </w:trPr>
        <w:tc>
          <w:tcPr>
            <w:tcW w:w="1031" w:type="dxa"/>
          </w:tcPr>
          <w:p w14:paraId="330AD90C" w14:textId="61AD7B52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  <w:tc>
          <w:tcPr>
            <w:tcW w:w="1118" w:type="dxa"/>
            <w:shd w:val="clear" w:color="auto" w:fill="auto"/>
            <w:hideMark/>
          </w:tcPr>
          <w:p w14:paraId="42357940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ՀԾՓ</w:t>
            </w:r>
          </w:p>
        </w:tc>
        <w:tc>
          <w:tcPr>
            <w:tcW w:w="7314" w:type="dxa"/>
            <w:shd w:val="clear" w:color="auto" w:fill="auto"/>
            <w:hideMark/>
          </w:tcPr>
          <w:p w14:paraId="18796890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Հիմնական ծառայությունների փաթեթ</w:t>
            </w:r>
          </w:p>
        </w:tc>
      </w:tr>
      <w:tr w:rsidR="00DC2EB3" w:rsidRPr="009456EE" w14:paraId="01D548AB" w14:textId="77777777" w:rsidTr="00093BFC">
        <w:trPr>
          <w:trHeight w:val="360"/>
        </w:trPr>
        <w:tc>
          <w:tcPr>
            <w:tcW w:w="1031" w:type="dxa"/>
          </w:tcPr>
          <w:p w14:paraId="74F658A8" w14:textId="5760E12A" w:rsidR="00DC2EB3" w:rsidRDefault="004E0754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shd w:val="clear" w:color="auto" w:fill="auto"/>
          </w:tcPr>
          <w:p w14:paraId="29B41D25" w14:textId="274C05E3" w:rsidR="00DC2EB3" w:rsidRPr="004A2367" w:rsidRDefault="00DC2EB3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ՆԾՓ</w:t>
            </w:r>
          </w:p>
        </w:tc>
        <w:tc>
          <w:tcPr>
            <w:tcW w:w="7314" w:type="dxa"/>
            <w:shd w:val="clear" w:color="auto" w:fill="auto"/>
          </w:tcPr>
          <w:p w14:paraId="7DCECE82" w14:textId="72E948B2" w:rsidR="00DC2EB3" w:rsidRPr="004A2367" w:rsidRDefault="00DC2EB3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Նվազագույն ծառայությունների փաթեթ</w:t>
            </w:r>
          </w:p>
        </w:tc>
      </w:tr>
      <w:tr w:rsidR="004F1389" w:rsidRPr="008F00C7" w14:paraId="7E1CB9CB" w14:textId="77777777" w:rsidTr="00093BFC">
        <w:trPr>
          <w:trHeight w:val="360"/>
        </w:trPr>
        <w:tc>
          <w:tcPr>
            <w:tcW w:w="1031" w:type="dxa"/>
          </w:tcPr>
          <w:p w14:paraId="42039B18" w14:textId="48D60913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</w:t>
            </w:r>
            <w:r w:rsidR="004E0754">
              <w:rPr>
                <w:rFonts w:ascii="GHEA Grapalat" w:hAnsi="GHEA Grapalat" w:cs="Arial"/>
                <w:sz w:val="24"/>
                <w:szCs w:val="24"/>
              </w:rPr>
              <w:t>0</w:t>
            </w:r>
          </w:p>
        </w:tc>
        <w:tc>
          <w:tcPr>
            <w:tcW w:w="1118" w:type="dxa"/>
            <w:shd w:val="clear" w:color="auto" w:fill="auto"/>
            <w:hideMark/>
          </w:tcPr>
          <w:p w14:paraId="1F61ADEE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ՊԱԳ</w:t>
            </w:r>
          </w:p>
        </w:tc>
        <w:tc>
          <w:tcPr>
            <w:tcW w:w="7314" w:type="dxa"/>
            <w:shd w:val="clear" w:color="auto" w:fill="auto"/>
            <w:hideMark/>
          </w:tcPr>
          <w:p w14:paraId="015A3E82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ՀՀ ԱՆ պետական առողջապահական գործակալություն</w:t>
            </w:r>
          </w:p>
        </w:tc>
      </w:tr>
      <w:tr w:rsidR="004F1389" w:rsidRPr="008F00C7" w14:paraId="0C0D29E9" w14:textId="77777777" w:rsidTr="00093BFC">
        <w:trPr>
          <w:trHeight w:val="720"/>
        </w:trPr>
        <w:tc>
          <w:tcPr>
            <w:tcW w:w="1031" w:type="dxa"/>
          </w:tcPr>
          <w:p w14:paraId="2F10A645" w14:textId="2DA240BA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</w:t>
            </w:r>
            <w:r w:rsidR="004E0754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hideMark/>
          </w:tcPr>
          <w:p w14:paraId="2CC77E4F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ՊՊ</w:t>
            </w:r>
          </w:p>
        </w:tc>
        <w:tc>
          <w:tcPr>
            <w:tcW w:w="7314" w:type="dxa"/>
            <w:shd w:val="clear" w:color="auto" w:fill="auto"/>
            <w:hideMark/>
          </w:tcPr>
          <w:p w14:paraId="7C455CFC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Պետության կողմից երաշխավորված անվճար կամ արտոնյալ պայմաններով բոժօգնություն և սպասարկում</w:t>
            </w:r>
          </w:p>
        </w:tc>
      </w:tr>
      <w:tr w:rsidR="004F1389" w:rsidRPr="004A2367" w14:paraId="1B993BDF" w14:textId="77777777" w:rsidTr="00093BFC">
        <w:trPr>
          <w:trHeight w:val="494"/>
        </w:trPr>
        <w:tc>
          <w:tcPr>
            <w:tcW w:w="1031" w:type="dxa"/>
          </w:tcPr>
          <w:p w14:paraId="700D7495" w14:textId="43063875" w:rsidR="004F1389" w:rsidRPr="008E7B3A" w:rsidRDefault="005832C1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</w:t>
            </w:r>
            <w:r w:rsidR="004E0754">
              <w:rPr>
                <w:rFonts w:ascii="GHEA Grapalat" w:hAnsi="GHEA Grapalat" w:cs="Arial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hideMark/>
          </w:tcPr>
          <w:p w14:paraId="4F3E6706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ՖՆ</w:t>
            </w:r>
          </w:p>
        </w:tc>
        <w:tc>
          <w:tcPr>
            <w:tcW w:w="7314" w:type="dxa"/>
            <w:shd w:val="clear" w:color="auto" w:fill="auto"/>
            <w:hideMark/>
          </w:tcPr>
          <w:p w14:paraId="2803246D" w14:textId="77777777" w:rsidR="004F1389" w:rsidRPr="004A2367" w:rsidRDefault="004F1389" w:rsidP="00093BFC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2367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</w:tc>
      </w:tr>
    </w:tbl>
    <w:p w14:paraId="609A9E6B" w14:textId="77777777" w:rsidR="004F1389" w:rsidRDefault="004F1389" w:rsidP="004F1389">
      <w:pPr>
        <w:spacing w:after="0" w:line="360" w:lineRule="auto"/>
        <w:rPr>
          <w:rStyle w:val="Strong"/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14:paraId="26BC68DB" w14:textId="77777777" w:rsidR="004F1389" w:rsidRDefault="004F1389" w:rsidP="004F1389">
      <w:pPr>
        <w:rPr>
          <w:rStyle w:val="Strong"/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Style w:val="Strong"/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br w:type="page"/>
      </w:r>
    </w:p>
    <w:p w14:paraId="250F684F" w14:textId="77777777" w:rsidR="004F1389" w:rsidRPr="00D5300C" w:rsidRDefault="004F1389" w:rsidP="004F1389">
      <w:pPr>
        <w:spacing w:after="0" w:line="360" w:lineRule="auto"/>
        <w:rPr>
          <w:rStyle w:val="Strong"/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14:paraId="5B2174DE" w14:textId="53A056C9" w:rsidR="004F1389" w:rsidRPr="00887050" w:rsidRDefault="00887050" w:rsidP="00A66A7E">
      <w:pPr>
        <w:pStyle w:val="Heading1"/>
        <w:numPr>
          <w:ilvl w:val="0"/>
          <w:numId w:val="13"/>
        </w:numPr>
        <w:rPr>
          <w:rFonts w:ascii="GHEA Grapalat" w:hAnsi="GHEA Grapalat"/>
          <w:sz w:val="24"/>
          <w:szCs w:val="24"/>
        </w:rPr>
      </w:pPr>
      <w:bookmarkStart w:id="5" w:name="_Toc122522078"/>
      <w:r w:rsidRPr="00887050">
        <w:rPr>
          <w:rStyle w:val="Strong"/>
          <w:rFonts w:ascii="GHEA Grapalat" w:hAnsi="GHEA Grapalat"/>
          <w:b w:val="0"/>
          <w:bCs w:val="0"/>
          <w:sz w:val="24"/>
          <w:szCs w:val="24"/>
        </w:rPr>
        <w:t>Ամփոփ</w:t>
      </w:r>
      <w:r w:rsidR="004F1389" w:rsidRPr="00887050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887050">
        <w:rPr>
          <w:rStyle w:val="Strong"/>
          <w:rFonts w:ascii="GHEA Grapalat" w:hAnsi="GHEA Grapalat"/>
          <w:b w:val="0"/>
          <w:bCs w:val="0"/>
          <w:sz w:val="24"/>
          <w:szCs w:val="24"/>
        </w:rPr>
        <w:t>նկարագիր</w:t>
      </w:r>
      <w:bookmarkEnd w:id="5"/>
    </w:p>
    <w:p w14:paraId="2D8D3E25" w14:textId="77777777" w:rsidR="004F1389" w:rsidRPr="00BC278E" w:rsidRDefault="004F1389" w:rsidP="004F138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hy-AM"/>
        </w:rPr>
      </w:pPr>
      <w:r w:rsidRPr="00BC278E">
        <w:rPr>
          <w:rFonts w:ascii="Calibri" w:hAnsi="Calibri" w:cs="Calibri"/>
          <w:color w:val="000000"/>
          <w:lang w:val="hy-AM"/>
        </w:rPr>
        <w:t>  </w:t>
      </w:r>
    </w:p>
    <w:p w14:paraId="1E95CE96" w14:textId="73C85EA6" w:rsidR="004F1389" w:rsidRPr="00887050" w:rsidRDefault="004F1389" w:rsidP="008870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Arial"/>
          <w:color w:val="000000"/>
          <w:lang w:val="hy-AM"/>
        </w:rPr>
      </w:pPr>
      <w:r w:rsidRPr="00887050">
        <w:rPr>
          <w:rFonts w:ascii="GHEA Grapalat" w:hAnsi="GHEA Grapalat" w:cs="Arial"/>
          <w:color w:val="000000"/>
          <w:lang w:val="hy-AM"/>
        </w:rPr>
        <w:t xml:space="preserve">Առողջության համապարփակ ապահովագրության (այնսուհետ՝ ԱՀԱ) </w:t>
      </w:r>
      <w:r w:rsidR="009A32B0">
        <w:rPr>
          <w:rFonts w:ascii="GHEA Grapalat" w:hAnsi="GHEA Grapalat" w:cs="Arial"/>
          <w:color w:val="000000"/>
          <w:lang w:val="hy-AM"/>
        </w:rPr>
        <w:t xml:space="preserve">ներդրման </w:t>
      </w:r>
      <w:r w:rsidRPr="00887050">
        <w:rPr>
          <w:rFonts w:ascii="GHEA Grapalat" w:hAnsi="GHEA Grapalat" w:cs="Arial"/>
          <w:color w:val="000000"/>
          <w:lang w:val="hy-AM"/>
        </w:rPr>
        <w:t xml:space="preserve">հայեցակարգը (այսուհետ` հայեցակարգ) մշակվել է ի կատարումն Հայաստանի Հանրապետության կառավարության 2019 թվականի փետրվարի 8-ի N 65-Ա որոշման N 1 հավելվածի 4.3-րդ բաժնով և Հայաստանի Հանրապետության կառավարության 2021 թվականի նոյեմբերի 18-ի թիվ 1902-Լ որոշման Հավելված 1-ի «Առողջապահության նախարարություն» բաժնի 1.1-րդ կետով սահմանված միջոցառման: </w:t>
      </w:r>
    </w:p>
    <w:p w14:paraId="7F9E0447" w14:textId="16B46B75" w:rsidR="004F1389" w:rsidRPr="00887050" w:rsidRDefault="004F1389" w:rsidP="008870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Arial"/>
          <w:color w:val="000000"/>
          <w:lang w:val="hy-AM"/>
        </w:rPr>
      </w:pPr>
      <w:r w:rsidRPr="00887050">
        <w:rPr>
          <w:rFonts w:ascii="GHEA Grapalat" w:eastAsia="GHEA Grapalat" w:hAnsi="GHEA Grapalat" w:cs="Arial"/>
          <w:lang w:val="hy-AM"/>
        </w:rPr>
        <w:t xml:space="preserve">ԱՀԱ-ն առողջապահության բնագավառում բնակչության առողջության պահպանման պետության կողմից </w:t>
      </w:r>
      <w:r w:rsidRPr="00887050">
        <w:rPr>
          <w:rFonts w:ascii="Cambria Math" w:eastAsia="Cambria Math" w:hAnsi="Cambria Math" w:cs="Cambria Math"/>
          <w:lang w:val="hy-AM"/>
        </w:rPr>
        <w:t>​​</w:t>
      </w:r>
      <w:r w:rsidRPr="00887050">
        <w:rPr>
          <w:rFonts w:ascii="GHEA Grapalat" w:eastAsia="GHEA Grapalat" w:hAnsi="GHEA Grapalat" w:cs="Arial"/>
          <w:lang w:val="hy-AM"/>
        </w:rPr>
        <w:t xml:space="preserve">երաշխավորված ինքնուրույն </w:t>
      </w:r>
      <w:r w:rsidR="00771848">
        <w:rPr>
          <w:rFonts w:ascii="GHEA Grapalat" w:eastAsia="GHEA Grapalat" w:hAnsi="GHEA Grapalat" w:cs="Arial"/>
          <w:lang w:val="hy-AM"/>
        </w:rPr>
        <w:t>համակարգ</w:t>
      </w:r>
      <w:r w:rsidRPr="00887050">
        <w:rPr>
          <w:rFonts w:ascii="GHEA Grapalat" w:eastAsia="GHEA Grapalat" w:hAnsi="GHEA Grapalat" w:cs="Arial"/>
          <w:lang w:val="hy-AM"/>
        </w:rPr>
        <w:t xml:space="preserve"> է, որն ապահովում է  հիվանդությունների կանխարգելման, բուժման և ընթացիկ վերահսկման ծախսերի փոխհատուցումը: ԱՀԱ </w:t>
      </w:r>
      <w:r w:rsidR="00771848">
        <w:rPr>
          <w:rFonts w:ascii="GHEA Grapalat" w:eastAsia="GHEA Grapalat" w:hAnsi="GHEA Grapalat" w:cs="Arial"/>
          <w:lang w:val="hy-AM"/>
        </w:rPr>
        <w:t>համակարգը</w:t>
      </w:r>
      <w:r w:rsidRPr="00887050">
        <w:rPr>
          <w:rFonts w:ascii="GHEA Grapalat" w:eastAsia="GHEA Grapalat" w:hAnsi="GHEA Grapalat" w:cs="Arial"/>
          <w:lang w:val="hy-AM"/>
        </w:rPr>
        <w:t xml:space="preserve"> ապահովագրվածների համար երաշխավորում է բարձրորակ բժշկական օգնություն ստանալու հավասար հնարավորություններ։</w:t>
      </w:r>
    </w:p>
    <w:p w14:paraId="6C17167F" w14:textId="3A6F9D33" w:rsidR="004F1389" w:rsidRDefault="004F1389" w:rsidP="008870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Arial"/>
          <w:color w:val="000000"/>
          <w:lang w:val="hy-AM"/>
        </w:rPr>
      </w:pPr>
      <w:r w:rsidRPr="00887050">
        <w:rPr>
          <w:rFonts w:ascii="GHEA Grapalat" w:hAnsi="GHEA Grapalat" w:cs="Arial"/>
          <w:color w:val="000000"/>
          <w:lang w:val="hy-AM"/>
        </w:rPr>
        <w:t>ԱՀԱ-ն իրականացվելու է մեկ միասնական գնորդի/վճարողի սկզբունքով՝ պետության կողմից հիմնադրված կառույցի` Հիմնադրամի (այսուհետ՝ Հիմնադրամ) միջոցով, որը պետք է ապահովի ապահովագրվածների առողջապահական ծախսերի համար անհրաժեշտ գումարների հաշվարկման և ծախսման արդյունավետությունը։</w:t>
      </w:r>
    </w:p>
    <w:p w14:paraId="6495D7CE" w14:textId="3F9DC20D" w:rsidR="002A355A" w:rsidRPr="00887050" w:rsidRDefault="002A355A" w:rsidP="002A355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Arial"/>
          <w:color w:val="000000"/>
          <w:lang w:val="hy-AM"/>
        </w:rPr>
      </w:pPr>
      <w:bookmarkStart w:id="6" w:name="_Hlk122521497"/>
      <w:r w:rsidRPr="00887050">
        <w:rPr>
          <w:rFonts w:ascii="GHEA Grapalat" w:hAnsi="GHEA Grapalat" w:cs="Arial"/>
          <w:color w:val="000000"/>
          <w:lang w:val="hy-AM"/>
        </w:rPr>
        <w:t xml:space="preserve">ԱՀԱ ներդրման հիմնական նպատակը </w:t>
      </w:r>
      <w:bookmarkStart w:id="7" w:name="_Hlk122521689"/>
      <w:r w:rsidRPr="00887050">
        <w:rPr>
          <w:rFonts w:ascii="GHEA Grapalat" w:hAnsi="GHEA Grapalat" w:cs="Arial"/>
          <w:color w:val="000000"/>
          <w:lang w:val="hy-AM"/>
        </w:rPr>
        <w:t xml:space="preserve">բնակչության բոլոր խմբերի համար </w:t>
      </w:r>
      <w:r w:rsidR="00C26D25">
        <w:rPr>
          <w:rFonts w:ascii="GHEA Grapalat" w:hAnsi="GHEA Grapalat" w:cs="Arial"/>
          <w:color w:val="000000"/>
          <w:lang w:val="hy-AM"/>
        </w:rPr>
        <w:t xml:space="preserve">առողջապահական </w:t>
      </w:r>
      <w:r w:rsidRPr="00887050">
        <w:rPr>
          <w:rFonts w:ascii="GHEA Grapalat" w:hAnsi="GHEA Grapalat" w:cs="Arial"/>
          <w:color w:val="000000"/>
          <w:lang w:val="hy-AM"/>
        </w:rPr>
        <w:t>հիմնական ծառայությունների ֆինանսական հասանելիությ</w:t>
      </w:r>
      <w:r w:rsidR="002F3BA0">
        <w:rPr>
          <w:rFonts w:ascii="GHEA Grapalat" w:hAnsi="GHEA Grapalat" w:cs="Arial"/>
          <w:color w:val="000000"/>
          <w:lang w:val="hy-AM"/>
        </w:rPr>
        <w:t>ա</w:t>
      </w:r>
      <w:r w:rsidRPr="00887050">
        <w:rPr>
          <w:rFonts w:ascii="GHEA Grapalat" w:hAnsi="GHEA Grapalat" w:cs="Arial"/>
          <w:color w:val="000000"/>
          <w:lang w:val="hy-AM"/>
        </w:rPr>
        <w:t xml:space="preserve">ն </w:t>
      </w:r>
      <w:r w:rsidR="002F3BA0">
        <w:rPr>
          <w:rFonts w:ascii="GHEA Grapalat" w:hAnsi="GHEA Grapalat" w:cs="Arial"/>
          <w:color w:val="000000"/>
          <w:lang w:val="hy-AM"/>
        </w:rPr>
        <w:t>ապահովումն է</w:t>
      </w:r>
      <w:bookmarkEnd w:id="7"/>
      <w:r w:rsidR="00A56381">
        <w:rPr>
          <w:rFonts w:ascii="GHEA Grapalat" w:hAnsi="GHEA Grapalat" w:cs="Arial"/>
          <w:color w:val="000000"/>
          <w:lang w:val="hy-AM"/>
        </w:rPr>
        <w:t xml:space="preserve"> և բուժօգնության որակի բարելավումը</w:t>
      </w:r>
      <w:r w:rsidRPr="00887050">
        <w:rPr>
          <w:rFonts w:ascii="GHEA Grapalat" w:hAnsi="GHEA Grapalat" w:cs="Arial"/>
          <w:color w:val="000000"/>
          <w:lang w:val="hy-AM"/>
        </w:rPr>
        <w:t>:</w:t>
      </w:r>
      <w:bookmarkEnd w:id="6"/>
    </w:p>
    <w:p w14:paraId="4CC6E5F8" w14:textId="304D5DF9" w:rsidR="004F1389" w:rsidRPr="00887050" w:rsidRDefault="004F1389" w:rsidP="008870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Arial"/>
          <w:color w:val="000000"/>
          <w:lang w:val="hy-AM"/>
        </w:rPr>
      </w:pPr>
      <w:r w:rsidRPr="00887050">
        <w:rPr>
          <w:rFonts w:ascii="GHEA Grapalat" w:hAnsi="GHEA Grapalat" w:cs="Arial"/>
          <w:color w:val="000000"/>
          <w:lang w:val="hy-AM"/>
        </w:rPr>
        <w:t xml:space="preserve">ԱՀԱ ներդրման հիմնական </w:t>
      </w:r>
      <w:r w:rsidR="00A56381">
        <w:rPr>
          <w:rFonts w:ascii="GHEA Grapalat" w:hAnsi="GHEA Grapalat" w:cs="Arial"/>
          <w:color w:val="000000"/>
          <w:lang w:val="hy-AM"/>
        </w:rPr>
        <w:t xml:space="preserve">նպատակի </w:t>
      </w:r>
      <w:r w:rsidR="0088772A">
        <w:rPr>
          <w:rFonts w:ascii="GHEA Grapalat" w:hAnsi="GHEA Grapalat" w:cs="Arial"/>
          <w:color w:val="000000"/>
          <w:lang w:val="hy-AM"/>
        </w:rPr>
        <w:t xml:space="preserve">իրականացումը </w:t>
      </w:r>
      <w:r w:rsidR="00A56381">
        <w:rPr>
          <w:rFonts w:ascii="GHEA Grapalat" w:hAnsi="GHEA Grapalat" w:cs="Arial"/>
          <w:color w:val="000000"/>
          <w:lang w:val="hy-AM"/>
        </w:rPr>
        <w:t>կնպաստ</w:t>
      </w:r>
      <w:r w:rsidR="0088772A">
        <w:rPr>
          <w:rFonts w:ascii="GHEA Grapalat" w:hAnsi="GHEA Grapalat" w:cs="Arial"/>
          <w:color w:val="000000"/>
          <w:lang w:val="hy-AM"/>
        </w:rPr>
        <w:t>ի</w:t>
      </w:r>
      <w:r w:rsidRPr="00887050">
        <w:rPr>
          <w:rFonts w:ascii="GHEA Grapalat" w:hAnsi="GHEA Grapalat" w:cs="Arial"/>
          <w:color w:val="000000"/>
          <w:lang w:val="hy-AM"/>
        </w:rPr>
        <w:t xml:space="preserve"> </w:t>
      </w:r>
      <w:bookmarkStart w:id="8" w:name="_Hlk122521583"/>
      <w:r w:rsidRPr="00887050">
        <w:rPr>
          <w:rFonts w:ascii="GHEA Grapalat" w:eastAsia="GHEA Grapalat" w:hAnsi="GHEA Grapalat" w:cs="Arial"/>
          <w:lang w:val="hy-AM"/>
        </w:rPr>
        <w:t>հիվանդացության և մահացության ցուցանիշների բարելավմ</w:t>
      </w:r>
      <w:r w:rsidR="00A56381">
        <w:rPr>
          <w:rFonts w:ascii="GHEA Grapalat" w:eastAsia="GHEA Grapalat" w:hAnsi="GHEA Grapalat" w:cs="Arial"/>
          <w:lang w:val="hy-AM"/>
        </w:rPr>
        <w:t>ա</w:t>
      </w:r>
      <w:r w:rsidRPr="00887050">
        <w:rPr>
          <w:rFonts w:ascii="GHEA Grapalat" w:eastAsia="GHEA Grapalat" w:hAnsi="GHEA Grapalat" w:cs="Arial"/>
          <w:lang w:val="hy-AM"/>
        </w:rPr>
        <w:t>ն</w:t>
      </w:r>
      <w:r w:rsidR="00A56381">
        <w:rPr>
          <w:rFonts w:ascii="GHEA Grapalat" w:eastAsia="GHEA Grapalat" w:hAnsi="GHEA Grapalat" w:cs="Arial"/>
          <w:lang w:val="hy-AM"/>
        </w:rPr>
        <w:t>ը</w:t>
      </w:r>
      <w:r w:rsidRPr="00887050">
        <w:rPr>
          <w:rFonts w:ascii="GHEA Grapalat" w:eastAsia="GHEA Grapalat" w:hAnsi="GHEA Grapalat" w:cs="Arial"/>
          <w:lang w:val="hy-AM"/>
        </w:rPr>
        <w:t xml:space="preserve">, </w:t>
      </w:r>
      <w:r w:rsidR="00205596">
        <w:rPr>
          <w:rFonts w:ascii="GHEA Grapalat" w:eastAsia="GHEA Grapalat" w:hAnsi="GHEA Grapalat" w:cs="Arial"/>
          <w:lang w:val="hy-AM"/>
        </w:rPr>
        <w:t>կյանքի միջին տևողության ավելացմ</w:t>
      </w:r>
      <w:r w:rsidR="00A56381">
        <w:rPr>
          <w:rFonts w:ascii="GHEA Grapalat" w:eastAsia="GHEA Grapalat" w:hAnsi="GHEA Grapalat" w:cs="Arial"/>
          <w:lang w:val="hy-AM"/>
        </w:rPr>
        <w:t>ան</w:t>
      </w:r>
      <w:r w:rsidR="00205596">
        <w:rPr>
          <w:rFonts w:ascii="GHEA Grapalat" w:eastAsia="GHEA Grapalat" w:hAnsi="GHEA Grapalat" w:cs="Arial"/>
          <w:lang w:val="hy-AM"/>
        </w:rPr>
        <w:t xml:space="preserve">ը, </w:t>
      </w:r>
      <w:r w:rsidRPr="00887050">
        <w:rPr>
          <w:rFonts w:ascii="GHEA Grapalat" w:hAnsi="GHEA Grapalat" w:cs="Arial"/>
          <w:color w:val="000000" w:themeColor="text1"/>
          <w:lang w:val="hy-AM"/>
        </w:rPr>
        <w:t>առողջական խնդիրների հետևանքով հաշմանդամությ</w:t>
      </w:r>
      <w:r w:rsidR="00393038">
        <w:rPr>
          <w:rFonts w:ascii="GHEA Grapalat" w:hAnsi="GHEA Grapalat" w:cs="Arial"/>
          <w:color w:val="000000" w:themeColor="text1"/>
          <w:lang w:val="hy-AM"/>
        </w:rPr>
        <w:t>ուն ունեցող անձանց թվաքանակի</w:t>
      </w:r>
      <w:r w:rsidRPr="00887050">
        <w:rPr>
          <w:rFonts w:ascii="GHEA Grapalat" w:hAnsi="GHEA Grapalat" w:cs="Arial"/>
          <w:color w:val="000000" w:themeColor="text1"/>
          <w:lang w:val="hy-AM"/>
        </w:rPr>
        <w:t xml:space="preserve"> նվազմ</w:t>
      </w:r>
      <w:r w:rsidR="00A56381">
        <w:rPr>
          <w:rFonts w:ascii="GHEA Grapalat" w:hAnsi="GHEA Grapalat" w:cs="Arial"/>
          <w:color w:val="000000" w:themeColor="text1"/>
          <w:lang w:val="hy-AM"/>
        </w:rPr>
        <w:t>ան</w:t>
      </w:r>
      <w:r w:rsidRPr="00887050">
        <w:rPr>
          <w:rFonts w:ascii="GHEA Grapalat" w:hAnsi="GHEA Grapalat" w:cs="Arial"/>
          <w:color w:val="000000" w:themeColor="text1"/>
          <w:lang w:val="hy-AM"/>
        </w:rPr>
        <w:t>ը</w:t>
      </w:r>
      <w:r w:rsidRPr="00887050">
        <w:rPr>
          <w:rFonts w:ascii="GHEA Grapalat" w:eastAsia="GHEA Grapalat" w:hAnsi="GHEA Grapalat" w:cs="Arial"/>
          <w:lang w:val="hy-AM"/>
        </w:rPr>
        <w:t>,</w:t>
      </w:r>
      <w:r w:rsidRPr="00887050">
        <w:rPr>
          <w:rFonts w:ascii="GHEA Grapalat" w:hAnsi="GHEA Grapalat" w:cs="Arial"/>
          <w:color w:val="000000"/>
          <w:lang w:val="hy-AM"/>
        </w:rPr>
        <w:t xml:space="preserve"> մարդկային կապիտալի կայուն զարգացմանը և տնտեսության աճին:</w:t>
      </w:r>
      <w:bookmarkEnd w:id="8"/>
    </w:p>
    <w:p w14:paraId="07B062F2" w14:textId="5F723DCF" w:rsidR="004F1389" w:rsidRPr="00887050" w:rsidRDefault="004F1389" w:rsidP="00887050">
      <w:pPr>
        <w:spacing w:line="276" w:lineRule="auto"/>
        <w:rPr>
          <w:rFonts w:ascii="GHEA Grapalat" w:eastAsiaTheme="majorEastAsia" w:hAnsi="GHEA Grapalat" w:cs="Arial"/>
          <w:color w:val="2F5496" w:themeColor="accent1" w:themeShade="BF"/>
          <w:sz w:val="24"/>
          <w:szCs w:val="24"/>
          <w:lang w:val="hy-AM" w:eastAsia="ru-RU"/>
        </w:rPr>
      </w:pPr>
    </w:p>
    <w:p w14:paraId="3CBA25B6" w14:textId="4FAE24FD" w:rsidR="004F1389" w:rsidRPr="00887050" w:rsidRDefault="00887050" w:rsidP="00887050">
      <w:pPr>
        <w:pStyle w:val="Heading1"/>
        <w:numPr>
          <w:ilvl w:val="0"/>
          <w:numId w:val="13"/>
        </w:numPr>
        <w:spacing w:line="276" w:lineRule="auto"/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</w:pPr>
      <w:bookmarkStart w:id="9" w:name="_Toc122522079"/>
      <w:r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Առկա</w:t>
      </w:r>
      <w:r w:rsidR="004F1389"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իրավիճակը</w:t>
      </w:r>
      <w:r w:rsidR="004F1389"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89434C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և</w:t>
      </w:r>
      <w:r w:rsidR="004F1389"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Pr="00887050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խնդիրները</w:t>
      </w:r>
      <w:bookmarkEnd w:id="9"/>
    </w:p>
    <w:p w14:paraId="66A942FD" w14:textId="5FDC00BA" w:rsidR="00F440D3" w:rsidRPr="00887050" w:rsidRDefault="00F440D3" w:rsidP="009B59CE">
      <w:pPr>
        <w:pStyle w:val="ListParagraph"/>
        <w:numPr>
          <w:ilvl w:val="0"/>
          <w:numId w:val="4"/>
        </w:numPr>
        <w:spacing w:after="0" w:line="276" w:lineRule="auto"/>
        <w:ind w:left="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>Հ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այաստանի առողջապահության ֆինանսավորման </w:t>
      </w:r>
      <w:r w:rsidR="00A56381">
        <w:rPr>
          <w:rFonts w:ascii="GHEA Grapalat" w:eastAsia="GHEA Grapalat" w:hAnsi="GHEA Grapalat" w:cs="Arial"/>
          <w:sz w:val="24"/>
          <w:szCs w:val="24"/>
          <w:lang w:val="hy-AM"/>
        </w:rPr>
        <w:t>համակարգի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գնահատման միջազգային համեմատականները և ծախսարդյունավետ ծրագրերի մասով դիտարկումները ցույց են տալիս, որ </w:t>
      </w:r>
      <w:r w:rsidR="00A56381">
        <w:rPr>
          <w:rFonts w:ascii="GHEA Grapalat" w:eastAsia="GHEA Grapalat" w:hAnsi="GHEA Grapalat" w:cs="Arial"/>
          <w:sz w:val="24"/>
          <w:szCs w:val="24"/>
          <w:lang w:val="hy-AM"/>
        </w:rPr>
        <w:t xml:space="preserve">պետական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ֆինանսական միջոցների </w:t>
      </w:r>
      <w:r w:rsidR="00A56381">
        <w:rPr>
          <w:rFonts w:ascii="GHEA Grapalat" w:eastAsia="GHEA Grapalat" w:hAnsi="GHEA Grapalat" w:cs="Arial"/>
          <w:sz w:val="24"/>
          <w:szCs w:val="24"/>
          <w:lang w:val="hy-AM"/>
        </w:rPr>
        <w:t xml:space="preserve">ավելացման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դեպքում </w:t>
      </w:r>
      <w:r w:rsidR="00A56381">
        <w:rPr>
          <w:rFonts w:ascii="GHEA Grapalat" w:eastAsia="GHEA Grapalat" w:hAnsi="GHEA Grapalat" w:cs="Arial"/>
          <w:sz w:val="24"/>
          <w:szCs w:val="24"/>
          <w:lang w:val="hy-AM"/>
        </w:rPr>
        <w:t>առկա է դրա բաշխման և բժշկական ծառայությունների մատուցման համապատասխան կարողություններ</w:t>
      </w:r>
      <w:r w:rsidR="005422C2">
        <w:rPr>
          <w:rFonts w:ascii="GHEA Grapalat" w:eastAsia="GHEA Grapalat" w:hAnsi="GHEA Grapalat" w:cs="Arial"/>
          <w:sz w:val="24"/>
          <w:szCs w:val="24"/>
          <w:lang w:val="hy-AM"/>
        </w:rPr>
        <w:t>ի բարելավում, ինչն արտահայտվում է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ոչ ֆինանսական ցուցանիշներ</w:t>
      </w:r>
      <w:r w:rsidR="005422C2">
        <w:rPr>
          <w:rFonts w:ascii="GHEA Grapalat" w:eastAsia="GHEA Grapalat" w:hAnsi="GHEA Grapalat" w:cs="Arial"/>
          <w:sz w:val="24"/>
          <w:szCs w:val="24"/>
          <w:lang w:val="hy-AM"/>
        </w:rPr>
        <w:t>ի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՝ կյանքի միջին տևողության աճի,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lastRenderedPageBreak/>
        <w:t>մայրական և երեխաների մահացության ցուցանիշների նվազման տեսքով</w:t>
      </w:r>
      <w:r w:rsidRPr="00887050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1"/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(Աղյուսակ 1):</w:t>
      </w:r>
      <w:r w:rsidRPr="00887050">
        <w:rPr>
          <w:rFonts w:ascii="GHEA Grapalat" w:eastAsia="Merriweather" w:hAnsi="GHEA Grapalat" w:cs="Arial"/>
          <w:sz w:val="24"/>
          <w:szCs w:val="24"/>
          <w:lang w:val="hy-AM"/>
        </w:rPr>
        <w:t xml:space="preserve"> </w:t>
      </w:r>
    </w:p>
    <w:p w14:paraId="067BC4A5" w14:textId="77777777" w:rsidR="00F440D3" w:rsidRPr="00887050" w:rsidRDefault="00F440D3" w:rsidP="00887050">
      <w:pPr>
        <w:pStyle w:val="ListParagraph"/>
        <w:spacing w:after="0" w:line="276" w:lineRule="auto"/>
        <w:ind w:left="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>Աղյուսակ 1: Առողջապահական առանձին ցուցանիշների դինամիկան</w:t>
      </w:r>
    </w:p>
    <w:tbl>
      <w:tblPr>
        <w:tblStyle w:val="TableGrid"/>
        <w:tblW w:w="9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6570"/>
        <w:gridCol w:w="900"/>
        <w:gridCol w:w="990"/>
        <w:gridCol w:w="900"/>
      </w:tblGrid>
      <w:tr w:rsidR="00F440D3" w:rsidRPr="00887050" w14:paraId="28499E35" w14:textId="77777777" w:rsidTr="00537E81">
        <w:tc>
          <w:tcPr>
            <w:tcW w:w="535" w:type="dxa"/>
          </w:tcPr>
          <w:p w14:paraId="5533B486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  <w:t>ՀՀ</w:t>
            </w:r>
          </w:p>
        </w:tc>
        <w:tc>
          <w:tcPr>
            <w:tcW w:w="6570" w:type="dxa"/>
          </w:tcPr>
          <w:p w14:paraId="3BA15691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  <w:t>Առողջապահական ցուցանիշի անվանումը</w:t>
            </w:r>
          </w:p>
        </w:tc>
        <w:tc>
          <w:tcPr>
            <w:tcW w:w="900" w:type="dxa"/>
          </w:tcPr>
          <w:p w14:paraId="3782C301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</w:rPr>
              <w:t>1998</w:t>
            </w: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  <w:t>թ</w:t>
            </w:r>
            <w:r w:rsidRPr="00887050">
              <w:rPr>
                <w:rFonts w:ascii="Cambria Math" w:eastAsia="GHEA Grapalat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990" w:type="dxa"/>
          </w:tcPr>
          <w:p w14:paraId="2E7FDE66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</w:rPr>
              <w:t>2008</w:t>
            </w: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  <w:t>թ</w:t>
            </w:r>
            <w:r w:rsidRPr="00887050">
              <w:rPr>
                <w:rFonts w:ascii="GHEA Grapalat" w:eastAsia="GHEA Grapalat" w:hAnsi="GHEA Grapalat" w:cs="Cambria Math"/>
                <w:b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900" w:type="dxa"/>
          </w:tcPr>
          <w:p w14:paraId="7A83AB25" w14:textId="12754875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</w:rPr>
              <w:t>20</w:t>
            </w:r>
            <w:r w:rsidR="00FE4824">
              <w:rPr>
                <w:rFonts w:ascii="GHEA Grapalat" w:eastAsia="GHEA Grapalat" w:hAnsi="GHEA Grapalat" w:cs="Arial"/>
                <w:b/>
                <w:bCs/>
                <w:sz w:val="20"/>
                <w:szCs w:val="20"/>
              </w:rPr>
              <w:t>21</w:t>
            </w:r>
            <w:r w:rsidRPr="00887050">
              <w:rPr>
                <w:rFonts w:ascii="GHEA Grapalat" w:eastAsia="GHEA Grapalat" w:hAnsi="GHEA Grapalat" w:cs="Arial"/>
                <w:b/>
                <w:bCs/>
                <w:sz w:val="20"/>
                <w:szCs w:val="20"/>
                <w:lang w:val="hy-AM"/>
              </w:rPr>
              <w:t>թ</w:t>
            </w:r>
            <w:r w:rsidRPr="00887050">
              <w:rPr>
                <w:rFonts w:ascii="Cambria Math" w:eastAsia="GHEA Grapalat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F440D3" w:rsidRPr="00887050" w14:paraId="12556BB4" w14:textId="77777777" w:rsidTr="00537E81">
        <w:tc>
          <w:tcPr>
            <w:tcW w:w="535" w:type="dxa"/>
          </w:tcPr>
          <w:p w14:paraId="2B472328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6570" w:type="dxa"/>
          </w:tcPr>
          <w:p w14:paraId="631C8F72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b/>
                <w:sz w:val="20"/>
                <w:szCs w:val="20"/>
                <w:lang w:val="hy-AM"/>
              </w:rPr>
              <w:t>կյանքի սպասվող տևողությունը` ծնվելու պահից, որից</w:t>
            </w:r>
          </w:p>
        </w:tc>
        <w:tc>
          <w:tcPr>
            <w:tcW w:w="900" w:type="dxa"/>
          </w:tcPr>
          <w:p w14:paraId="59B7E10E" w14:textId="52E83309" w:rsidR="00F440D3" w:rsidRPr="00FE4824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Arial"/>
                <w:b/>
                <w:sz w:val="20"/>
                <w:szCs w:val="20"/>
              </w:rPr>
              <w:t>71.5</w:t>
            </w:r>
          </w:p>
        </w:tc>
        <w:tc>
          <w:tcPr>
            <w:tcW w:w="990" w:type="dxa"/>
          </w:tcPr>
          <w:p w14:paraId="7E41AB5A" w14:textId="0C6C99FC" w:rsidR="00F440D3" w:rsidRPr="00FE4824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Arial"/>
                <w:b/>
                <w:sz w:val="20"/>
                <w:szCs w:val="20"/>
              </w:rPr>
              <w:t>73.8</w:t>
            </w:r>
          </w:p>
        </w:tc>
        <w:tc>
          <w:tcPr>
            <w:tcW w:w="900" w:type="dxa"/>
          </w:tcPr>
          <w:p w14:paraId="385790A9" w14:textId="6088AF47" w:rsidR="00F440D3" w:rsidRPr="00FE4824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Arial"/>
                <w:b/>
                <w:sz w:val="20"/>
                <w:szCs w:val="20"/>
              </w:rPr>
              <w:t>73.5</w:t>
            </w:r>
          </w:p>
        </w:tc>
      </w:tr>
      <w:tr w:rsidR="00F440D3" w:rsidRPr="00887050" w14:paraId="4E6DBD8D" w14:textId="77777777" w:rsidTr="00537E81">
        <w:tc>
          <w:tcPr>
            <w:tcW w:w="535" w:type="dxa"/>
          </w:tcPr>
          <w:p w14:paraId="721196BA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1.1</w:t>
            </w:r>
          </w:p>
        </w:tc>
        <w:tc>
          <w:tcPr>
            <w:tcW w:w="6570" w:type="dxa"/>
          </w:tcPr>
          <w:p w14:paraId="27D06292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Տղամարդ</w:t>
            </w:r>
          </w:p>
        </w:tc>
        <w:tc>
          <w:tcPr>
            <w:tcW w:w="900" w:type="dxa"/>
          </w:tcPr>
          <w:p w14:paraId="00623E67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69.1</w:t>
            </w:r>
          </w:p>
        </w:tc>
        <w:tc>
          <w:tcPr>
            <w:tcW w:w="990" w:type="dxa"/>
          </w:tcPr>
          <w:p w14:paraId="5400B435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70.0</w:t>
            </w:r>
          </w:p>
        </w:tc>
        <w:tc>
          <w:tcPr>
            <w:tcW w:w="900" w:type="dxa"/>
          </w:tcPr>
          <w:p w14:paraId="3A0E3756" w14:textId="37FA3A71" w:rsidR="00F440D3" w:rsidRPr="00887050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Arial"/>
                <w:i/>
                <w:sz w:val="20"/>
                <w:szCs w:val="20"/>
              </w:rPr>
              <w:t>68.4</w:t>
            </w:r>
          </w:p>
        </w:tc>
      </w:tr>
      <w:tr w:rsidR="00F440D3" w:rsidRPr="00887050" w14:paraId="71EEDD92" w14:textId="77777777" w:rsidTr="00537E81">
        <w:tc>
          <w:tcPr>
            <w:tcW w:w="535" w:type="dxa"/>
          </w:tcPr>
          <w:p w14:paraId="630DA5DC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1.2</w:t>
            </w:r>
          </w:p>
        </w:tc>
        <w:tc>
          <w:tcPr>
            <w:tcW w:w="6570" w:type="dxa"/>
          </w:tcPr>
          <w:p w14:paraId="1DA0C862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Կին</w:t>
            </w:r>
          </w:p>
        </w:tc>
        <w:tc>
          <w:tcPr>
            <w:tcW w:w="900" w:type="dxa"/>
          </w:tcPr>
          <w:p w14:paraId="3C341AD0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75.2</w:t>
            </w:r>
          </w:p>
        </w:tc>
        <w:tc>
          <w:tcPr>
            <w:tcW w:w="990" w:type="dxa"/>
          </w:tcPr>
          <w:p w14:paraId="35F574C8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76.3</w:t>
            </w:r>
          </w:p>
        </w:tc>
        <w:tc>
          <w:tcPr>
            <w:tcW w:w="900" w:type="dxa"/>
          </w:tcPr>
          <w:p w14:paraId="248DE09E" w14:textId="122DEEBB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i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i/>
                <w:sz w:val="20"/>
                <w:szCs w:val="20"/>
              </w:rPr>
              <w:t>7</w:t>
            </w:r>
            <w:r w:rsidR="00FE4824">
              <w:rPr>
                <w:rFonts w:ascii="GHEA Grapalat" w:eastAsia="GHEA Grapalat" w:hAnsi="GHEA Grapalat" w:cs="Arial"/>
                <w:i/>
                <w:sz w:val="20"/>
                <w:szCs w:val="20"/>
              </w:rPr>
              <w:t>8.6</w:t>
            </w:r>
          </w:p>
        </w:tc>
      </w:tr>
      <w:tr w:rsidR="00F440D3" w:rsidRPr="00887050" w14:paraId="2B3280DA" w14:textId="77777777" w:rsidTr="00537E81">
        <w:tc>
          <w:tcPr>
            <w:tcW w:w="535" w:type="dxa"/>
          </w:tcPr>
          <w:p w14:paraId="73B71183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6570" w:type="dxa"/>
          </w:tcPr>
          <w:p w14:paraId="5127C8F2" w14:textId="71A0FB76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Մանկական մահացության </w:t>
            </w:r>
            <w:r w:rsidR="00C26D25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ցուցանիշը</w:t>
            </w: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 1 000 կենդանի ծնվածի հաշվով</w:t>
            </w:r>
          </w:p>
        </w:tc>
        <w:tc>
          <w:tcPr>
            <w:tcW w:w="900" w:type="dxa"/>
          </w:tcPr>
          <w:p w14:paraId="7E54DD94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14.7</w:t>
            </w:r>
          </w:p>
        </w:tc>
        <w:tc>
          <w:tcPr>
            <w:tcW w:w="990" w:type="dxa"/>
          </w:tcPr>
          <w:p w14:paraId="18C565AA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10.8</w:t>
            </w:r>
          </w:p>
        </w:tc>
        <w:tc>
          <w:tcPr>
            <w:tcW w:w="900" w:type="dxa"/>
          </w:tcPr>
          <w:p w14:paraId="67D9D7A3" w14:textId="6225D4F8" w:rsidR="00F440D3" w:rsidRPr="00FE4824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Arial"/>
                <w:sz w:val="20"/>
                <w:szCs w:val="20"/>
              </w:rPr>
              <w:t>6.91</w:t>
            </w:r>
          </w:p>
        </w:tc>
      </w:tr>
      <w:tr w:rsidR="00F440D3" w:rsidRPr="00887050" w14:paraId="7546E4FB" w14:textId="77777777" w:rsidTr="00537E81">
        <w:tc>
          <w:tcPr>
            <w:tcW w:w="535" w:type="dxa"/>
          </w:tcPr>
          <w:p w14:paraId="4B85EF9B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6570" w:type="dxa"/>
          </w:tcPr>
          <w:p w14:paraId="6C45E0ED" w14:textId="2B75453C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Մինչև 5 տարեկան երեխաների մահացության </w:t>
            </w:r>
            <w:r w:rsidR="00C26D25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ցուցանիշը</w:t>
            </w: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 (1000 կենդանի ծնվածի հաշվով)</w:t>
            </w:r>
          </w:p>
        </w:tc>
        <w:tc>
          <w:tcPr>
            <w:tcW w:w="900" w:type="dxa"/>
          </w:tcPr>
          <w:p w14:paraId="4FD2D936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18.4</w:t>
            </w:r>
          </w:p>
        </w:tc>
        <w:tc>
          <w:tcPr>
            <w:tcW w:w="990" w:type="dxa"/>
          </w:tcPr>
          <w:p w14:paraId="66E3C2DC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12.1</w:t>
            </w:r>
          </w:p>
        </w:tc>
        <w:tc>
          <w:tcPr>
            <w:tcW w:w="900" w:type="dxa"/>
          </w:tcPr>
          <w:p w14:paraId="4AB74E62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8.7</w:t>
            </w:r>
          </w:p>
        </w:tc>
      </w:tr>
      <w:tr w:rsidR="00F440D3" w:rsidRPr="00887050" w14:paraId="6AFF35B5" w14:textId="77777777" w:rsidTr="00537E81">
        <w:tc>
          <w:tcPr>
            <w:tcW w:w="535" w:type="dxa"/>
          </w:tcPr>
          <w:p w14:paraId="3BCB7A27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6570" w:type="dxa"/>
          </w:tcPr>
          <w:p w14:paraId="081A0582" w14:textId="7C10B49F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Մայրական մահացության </w:t>
            </w:r>
            <w:r w:rsidR="00C26D25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ցուցանիշը</w:t>
            </w: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 xml:space="preserve"> (100 000 կենդանի ծնվածի հաշվով)</w:t>
            </w:r>
          </w:p>
        </w:tc>
        <w:tc>
          <w:tcPr>
            <w:tcW w:w="900" w:type="dxa"/>
          </w:tcPr>
          <w:p w14:paraId="69520FCF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38.8</w:t>
            </w:r>
          </w:p>
        </w:tc>
        <w:tc>
          <w:tcPr>
            <w:tcW w:w="990" w:type="dxa"/>
          </w:tcPr>
          <w:p w14:paraId="0C357243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796D23B1" w14:textId="1CD761FF" w:rsidR="00F440D3" w:rsidRPr="00FE4824" w:rsidRDefault="00FE482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>
              <w:rPr>
                <w:rFonts w:ascii="GHEA Grapalat" w:eastAsia="GHEA Grapalat" w:hAnsi="GHEA Grapalat" w:cs="Arial"/>
                <w:sz w:val="20"/>
                <w:szCs w:val="20"/>
              </w:rPr>
              <w:t>22.0</w:t>
            </w:r>
          </w:p>
        </w:tc>
      </w:tr>
      <w:tr w:rsidR="00F440D3" w:rsidRPr="00887050" w14:paraId="0F56E40F" w14:textId="77777777" w:rsidTr="00537E81">
        <w:tc>
          <w:tcPr>
            <w:tcW w:w="535" w:type="dxa"/>
          </w:tcPr>
          <w:p w14:paraId="5BBC5D0F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6570" w:type="dxa"/>
          </w:tcPr>
          <w:p w14:paraId="644AEF79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Առողջապահության բյուջետային ծախսերը պետական ծախսերում, %</w:t>
            </w:r>
          </w:p>
        </w:tc>
        <w:tc>
          <w:tcPr>
            <w:tcW w:w="900" w:type="dxa"/>
          </w:tcPr>
          <w:p w14:paraId="29D1EBCC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6.4</w:t>
            </w:r>
          </w:p>
        </w:tc>
        <w:tc>
          <w:tcPr>
            <w:tcW w:w="990" w:type="dxa"/>
          </w:tcPr>
          <w:p w14:paraId="754FA7BB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6.1</w:t>
            </w:r>
          </w:p>
        </w:tc>
        <w:tc>
          <w:tcPr>
            <w:tcW w:w="900" w:type="dxa"/>
          </w:tcPr>
          <w:p w14:paraId="0BE29ABC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5.4</w:t>
            </w:r>
          </w:p>
        </w:tc>
      </w:tr>
      <w:tr w:rsidR="00F440D3" w:rsidRPr="00887050" w14:paraId="49638A45" w14:textId="77777777" w:rsidTr="00537E81">
        <w:tc>
          <w:tcPr>
            <w:tcW w:w="535" w:type="dxa"/>
          </w:tcPr>
          <w:p w14:paraId="1377CB0D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6570" w:type="dxa"/>
          </w:tcPr>
          <w:p w14:paraId="75B55CA7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Առողջապահության պետական ծախսերը ՀՆԱ-ում, %</w:t>
            </w:r>
          </w:p>
        </w:tc>
        <w:tc>
          <w:tcPr>
            <w:tcW w:w="900" w:type="dxa"/>
          </w:tcPr>
          <w:p w14:paraId="49B075F1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  <w:t>1,6</w:t>
            </w:r>
          </w:p>
        </w:tc>
        <w:tc>
          <w:tcPr>
            <w:tcW w:w="990" w:type="dxa"/>
          </w:tcPr>
          <w:p w14:paraId="11A98162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  <w:t>1,5</w:t>
            </w:r>
          </w:p>
        </w:tc>
        <w:tc>
          <w:tcPr>
            <w:tcW w:w="900" w:type="dxa"/>
          </w:tcPr>
          <w:p w14:paraId="2ED5567B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  <w:t>1,4</w:t>
            </w:r>
          </w:p>
        </w:tc>
      </w:tr>
      <w:tr w:rsidR="00F440D3" w:rsidRPr="00887050" w14:paraId="461066D6" w14:textId="77777777" w:rsidTr="00537E81">
        <w:tc>
          <w:tcPr>
            <w:tcW w:w="535" w:type="dxa"/>
          </w:tcPr>
          <w:p w14:paraId="0ABC4DE4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6570" w:type="dxa"/>
          </w:tcPr>
          <w:p w14:paraId="7504C89D" w14:textId="77777777" w:rsidR="00F440D3" w:rsidRPr="00A16E77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  <w:t>Մասնավոր առողջապահական ծախսերը ՀՆԱ-ում, %</w:t>
            </w:r>
          </w:p>
        </w:tc>
        <w:tc>
          <w:tcPr>
            <w:tcW w:w="900" w:type="dxa"/>
          </w:tcPr>
          <w:p w14:paraId="5391365B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14:paraId="04DF1CB3" w14:textId="77777777" w:rsidR="00F440D3" w:rsidRPr="00887050" w:rsidRDefault="00F440D3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</w:pPr>
            <w:r w:rsidRPr="00887050">
              <w:rPr>
                <w:rFonts w:ascii="GHEA Grapalat" w:eastAsia="GHEA Grapalat" w:hAnsi="GHEA Grapalat" w:cs="Arial"/>
                <w:sz w:val="20"/>
                <w:szCs w:val="20"/>
                <w:lang w:val="ru-RU"/>
              </w:rPr>
              <w:t>2,5</w:t>
            </w:r>
          </w:p>
        </w:tc>
        <w:tc>
          <w:tcPr>
            <w:tcW w:w="900" w:type="dxa"/>
          </w:tcPr>
          <w:p w14:paraId="7E5CB81F" w14:textId="5930828E" w:rsidR="00F440D3" w:rsidRPr="00BA6D4A" w:rsidRDefault="004E0754" w:rsidP="00887050">
            <w:pPr>
              <w:spacing w:line="276" w:lineRule="auto"/>
              <w:jc w:val="both"/>
              <w:rPr>
                <w:rFonts w:ascii="GHEA Grapalat" w:eastAsia="GHEA Grapalat" w:hAnsi="GHEA Grapalat" w:cs="Arial"/>
                <w:sz w:val="20"/>
                <w:szCs w:val="20"/>
              </w:rPr>
            </w:pPr>
            <w:r w:rsidRPr="00BA6D4A">
              <w:rPr>
                <w:rFonts w:ascii="GHEA Grapalat" w:eastAsia="GHEA Grapalat" w:hAnsi="GHEA Grapalat" w:cs="Arial"/>
                <w:sz w:val="20"/>
                <w:szCs w:val="20"/>
              </w:rPr>
              <w:t>7,8</w:t>
            </w:r>
          </w:p>
        </w:tc>
      </w:tr>
    </w:tbl>
    <w:p w14:paraId="7E45F708" w14:textId="77777777" w:rsidR="00F440D3" w:rsidRPr="00887050" w:rsidRDefault="00F440D3" w:rsidP="00887050">
      <w:p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</w:p>
    <w:p w14:paraId="5D22DF32" w14:textId="5F8EFC89" w:rsidR="00F440D3" w:rsidRPr="00887050" w:rsidRDefault="00F440D3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bookmarkStart w:id="10" w:name="_Hlk122521215"/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Սակայն երբ դիտարկում ենք այն միջոցները, որոնց հաշվին ապահովվում են այդ ցուցանիշները, ապա նկատելի է, որ Հայաստանը ունի Եվրոպայի և Կենտրոնական Ասիայի շատ երկրների համեմատ ցածր պետական ֆինանսավորում՝ 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վերջին </w:t>
      </w:r>
      <w:r w:rsidR="00EE28BA" w:rsidRPr="00A16E77">
        <w:rPr>
          <w:rFonts w:ascii="GHEA Grapalat" w:eastAsia="GHEA Grapalat" w:hAnsi="GHEA Grapalat" w:cs="Arial"/>
          <w:sz w:val="24"/>
          <w:szCs w:val="24"/>
          <w:lang w:val="hy-AM"/>
        </w:rPr>
        <w:t xml:space="preserve">25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>տարիների ընթացքում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ապահովելով առողջապահության բնագավառի մասով համախմբված բյուջեի ծախսերի 5.4%-ը կամ ՀՆԱ-ում շուրջ 1,4%-ը, որն առնվազն </w:t>
      </w:r>
      <w:r w:rsidR="005D2D86" w:rsidRPr="008F00C7">
        <w:rPr>
          <w:rFonts w:ascii="GHEA Grapalat" w:eastAsia="GHEA Grapalat" w:hAnsi="GHEA Grapalat" w:cs="Arial"/>
          <w:sz w:val="24"/>
          <w:szCs w:val="24"/>
          <w:lang w:val="hy-AM"/>
        </w:rPr>
        <w:t>4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անգամ պակաս է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Հայաստանի հետ միևնույն եկամտային խմբում գտնվող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երկրների միջին ցուցանիշներից</w:t>
      </w:r>
      <w:r w:rsidRPr="00887050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2"/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։</w:t>
      </w:r>
    </w:p>
    <w:p w14:paraId="1DD97395" w14:textId="0DD7398C" w:rsidR="00F440D3" w:rsidRPr="00887050" w:rsidRDefault="00F440D3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Ոչ բավարար չափով ֆինանսավորումը բերել է ծառայությունների մատուցման </w:t>
      </w:r>
      <w:r w:rsidR="000B6D11">
        <w:rPr>
          <w:rFonts w:ascii="GHEA Grapalat" w:eastAsia="GHEA Grapalat" w:hAnsi="GHEA Grapalat" w:cs="Arial"/>
          <w:sz w:val="24"/>
          <w:szCs w:val="24"/>
          <w:lang w:val="hy-AM"/>
        </w:rPr>
        <w:t>համակարգ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ի մասնատման, իրական ծախսերից ցածր փոխհատուցվող գների, բժշկական մասնագիտացված անձնակազմի բացակայությանը մարզերում: Ֆինանսական մատչելիության ցածր մակարդակը բերել է բժշկական կազմակերպությունների թերի ծանրաբեռնվածությանը և ֆինանսական պատճառներով ոչ աղքատ բնակչության 12,6%-ը, աղքատների 24,5%-ը և ծայրահեղ աղքատների 49%-ը չի հաճախում ԱԱՊ բժշկի</w:t>
      </w:r>
      <w:r w:rsidR="00FE4824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3"/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:</w:t>
      </w:r>
    </w:p>
    <w:p w14:paraId="3A33DC9E" w14:textId="4B68D1D0" w:rsidR="00F440D3" w:rsidRPr="00887050" w:rsidRDefault="00205596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bookmarkStart w:id="11" w:name="_Hlk122081979"/>
      <w:r>
        <w:rPr>
          <w:rFonts w:ascii="GHEA Grapalat" w:eastAsia="GHEA Grapalat" w:hAnsi="GHEA Grapalat" w:cs="Arial"/>
          <w:sz w:val="24"/>
          <w:szCs w:val="24"/>
          <w:lang w:val="hy-AM"/>
        </w:rPr>
        <w:t>Առողջապահության պետական ֆ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ինանսական միջոցների պակասը 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 xml:space="preserve">և գրպանից դուրս կատարվող ծախսերի անկառավարելիությունը </w:t>
      </w:r>
      <w:bookmarkEnd w:id="11"/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խոչընդոտում 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են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0B6D11">
        <w:rPr>
          <w:rFonts w:ascii="GHEA Grapalat" w:eastAsia="GHEA Grapalat" w:hAnsi="GHEA Grapalat" w:cs="Arial"/>
          <w:sz w:val="24"/>
          <w:szCs w:val="24"/>
          <w:lang w:val="hy-AM"/>
        </w:rPr>
        <w:t>համակարգ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ի զարգացմանը և բժշկական օգնության և սպասարկման որակի բարելավմանը, նպաստում բազմաթիվ ընտանիքների աղքատացման առողջապահական աղետալի ծախսերի պատճառով, խոչընդոտում բժշկական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lastRenderedPageBreak/>
        <w:t xml:space="preserve">օգնության և սպասարկման ծառայությունների հասանելիության և ֆինանսական մատչելիության բարելավմանը: </w:t>
      </w:r>
      <w:r w:rsidR="002A355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Տնային տնտեսությունների եկամուտներից առողջապահական ծախսերին 10%-ից ավելին ուղղելու ցուցանիշով (16.1%), Հայաստանը գերազանցում է համաշխարհային (12.7%) և տարածաշրջանային (7.4%) միջին ցուցանիշները: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Բնակչության շուրջ 9%-ի մոտ սպառողական ծախսերի ավելի քան 25%-ը կազմում են առողջապահական ծախսերը, որի հետևանքով վերջիններիս շուրջ 6%-ը աղքատանում է՝ ինչն ամենաբարձր ցուցանիշներից մեկն է տարածաշրջանում</w:t>
      </w:r>
      <w:r w:rsidR="00F440D3" w:rsidRPr="00887050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4"/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:</w:t>
      </w:r>
      <w:bookmarkEnd w:id="10"/>
    </w:p>
    <w:p w14:paraId="6485EDDE" w14:textId="0CA2B773" w:rsidR="00F440D3" w:rsidRPr="00887050" w:rsidRDefault="00DF4FFE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bookmarkStart w:id="12" w:name="_Hlk122521417"/>
      <w:r w:rsidRPr="00887050">
        <w:rPr>
          <w:rFonts w:ascii="GHEA Grapalat" w:hAnsi="GHEA Grapalat" w:cs="Arial"/>
          <w:sz w:val="24"/>
          <w:szCs w:val="24"/>
          <w:lang w:val="hy-AM"/>
        </w:rPr>
        <w:t>Հայաստան</w:t>
      </w:r>
      <w:r>
        <w:rPr>
          <w:rFonts w:ascii="GHEA Grapalat" w:hAnsi="GHEA Grapalat" w:cs="Arial"/>
          <w:sz w:val="24"/>
          <w:szCs w:val="24"/>
          <w:lang w:val="hy-AM"/>
        </w:rPr>
        <w:t>ի կառավարությունը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544F" w:rsidRPr="00887050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ապահով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ի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բնակչության ֆինանսական հասանելիությունը և պաշտպանվածությունը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հիմնական ծառայությունների փաթեթում ընդգրկված ծառայություններ ստանալիս</w:t>
      </w:r>
      <w:r w:rsidR="00876ABC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 xml:space="preserve">ժամանակի ընթացքում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կրճատ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ի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բժշկական օգնության և սպասարկման ծառայությունների դիմաց կատարվող աղետալի ծախսերը և դրա հետևանքով աղքատացող բնակչության թվաքանակը</w:t>
      </w:r>
      <w:r w:rsidR="00876ABC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, 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բարձրացն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նի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առողջապահության բնագավառում ծախսվող գումարների արդյունավետությ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ու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ն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ն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ու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նպատակայնությ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ու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ն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ը</w:t>
      </w:r>
      <w:r w:rsidR="00876ABC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և բ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>արելավվ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ի</w:t>
      </w:r>
      <w:r w:rsidR="0081544F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բժշկական օգնության և սպասարկման որակը</w:t>
      </w:r>
      <w:r w:rsidR="0088772A">
        <w:rPr>
          <w:rFonts w:ascii="GHEA Grapalat" w:eastAsia="GHEA Grapalat" w:hAnsi="GHEA Grapalat" w:cs="Arial"/>
          <w:sz w:val="24"/>
          <w:szCs w:val="24"/>
          <w:lang w:val="hy-AM"/>
        </w:rPr>
        <w:t>՝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 xml:space="preserve"> ներդնելով </w:t>
      </w:r>
      <w:r w:rsidR="00D701C9">
        <w:rPr>
          <w:rFonts w:ascii="GHEA Grapalat" w:eastAsia="GHEA Grapalat" w:hAnsi="GHEA Grapalat" w:cs="Arial"/>
          <w:sz w:val="24"/>
          <w:szCs w:val="24"/>
          <w:lang w:val="hy-AM"/>
        </w:rPr>
        <w:t>առողջապահության ֆինանսավորման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B57218">
        <w:rPr>
          <w:rFonts w:ascii="GHEA Grapalat" w:eastAsia="GHEA Grapalat" w:hAnsi="GHEA Grapalat" w:cs="Arial"/>
          <w:sz w:val="24"/>
          <w:szCs w:val="24"/>
          <w:lang w:val="hy-AM"/>
        </w:rPr>
        <w:t xml:space="preserve">համար եկամուտների հավաքագրման 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 xml:space="preserve">կանխավճարային </w:t>
      </w:r>
      <w:r w:rsidR="00D701C9">
        <w:rPr>
          <w:rFonts w:ascii="GHEA Grapalat" w:eastAsia="GHEA Grapalat" w:hAnsi="GHEA Grapalat" w:cs="Arial"/>
          <w:sz w:val="24"/>
          <w:szCs w:val="24"/>
          <w:lang w:val="hy-AM"/>
        </w:rPr>
        <w:t>մոդել</w:t>
      </w:r>
      <w:r w:rsidR="00B57218">
        <w:rPr>
          <w:rFonts w:ascii="GHEA Grapalat" w:eastAsia="GHEA Grapalat" w:hAnsi="GHEA Grapalat" w:cs="Arial"/>
          <w:sz w:val="24"/>
          <w:szCs w:val="24"/>
          <w:lang w:val="hy-AM"/>
        </w:rPr>
        <w:t xml:space="preserve">՝ պետության հավասարակշռված համաֆինանսավորմամբ, </w:t>
      </w:r>
      <w:r>
        <w:rPr>
          <w:rFonts w:ascii="GHEA Grapalat" w:eastAsia="GHEA Grapalat" w:hAnsi="GHEA Grapalat" w:cs="Arial"/>
          <w:sz w:val="24"/>
          <w:szCs w:val="24"/>
          <w:lang w:val="hy-AM"/>
        </w:rPr>
        <w:t>առողջապահական ծառայությունների ստրատեգիական գնման ուժեղ և անկախ համակարգ</w:t>
      </w:r>
      <w:r w:rsidR="00B57218">
        <w:rPr>
          <w:rFonts w:ascii="GHEA Grapalat" w:eastAsia="GHEA Grapalat" w:hAnsi="GHEA Grapalat" w:cs="Arial"/>
          <w:sz w:val="24"/>
          <w:szCs w:val="24"/>
          <w:lang w:val="hy-AM"/>
        </w:rPr>
        <w:t>ի ձևավորմամբ</w:t>
      </w:r>
      <w:r w:rsidR="00F440D3" w:rsidRPr="00887050">
        <w:rPr>
          <w:rFonts w:ascii="GHEA Grapalat" w:eastAsia="GHEA Grapalat" w:hAnsi="GHEA Grapalat" w:cs="Arial"/>
          <w:sz w:val="24"/>
          <w:szCs w:val="24"/>
          <w:lang w:val="hy-AM"/>
        </w:rPr>
        <w:t>։</w:t>
      </w:r>
    </w:p>
    <w:bookmarkEnd w:id="12"/>
    <w:p w14:paraId="438608BE" w14:textId="080A334C" w:rsidR="00EE28BA" w:rsidRPr="00887050" w:rsidRDefault="00EE28BA" w:rsidP="00887050">
      <w:pPr>
        <w:spacing w:after="0" w:line="276" w:lineRule="auto"/>
        <w:ind w:left="-36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</w:p>
    <w:p w14:paraId="0A5EAF06" w14:textId="5CE70B93" w:rsidR="00EE28BA" w:rsidRPr="00887050" w:rsidRDefault="00EE28BA" w:rsidP="0088705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GHEA Grapalat" w:eastAsiaTheme="majorEastAsia" w:hAnsi="GHEA Grapalat" w:cstheme="majorBidi"/>
          <w:color w:val="2F5496" w:themeColor="accent1" w:themeShade="BF"/>
          <w:sz w:val="24"/>
          <w:szCs w:val="24"/>
          <w:lang w:val="hy-AM" w:eastAsia="ru-RU"/>
        </w:rPr>
      </w:pPr>
      <w:r w:rsidRPr="00887050">
        <w:rPr>
          <w:rFonts w:ascii="GHEA Grapalat" w:eastAsiaTheme="majorEastAsia" w:hAnsi="GHEA Grapalat" w:cstheme="majorBidi"/>
          <w:color w:val="2F5496" w:themeColor="accent1" w:themeShade="BF"/>
          <w:sz w:val="24"/>
          <w:szCs w:val="24"/>
          <w:lang w:val="hy-AM" w:eastAsia="ru-RU"/>
        </w:rPr>
        <w:t>ԱՀԱ ներդրման ռազմավարությունը</w:t>
      </w:r>
    </w:p>
    <w:p w14:paraId="060385E7" w14:textId="12F8C965" w:rsidR="00B60E85" w:rsidRDefault="008706E5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նակչության ֆինանսական պաշտպանվածության մակարդակի </w:t>
      </w:r>
      <w:r w:rsidR="00B57218">
        <w:rPr>
          <w:rFonts w:ascii="GHEA Grapalat" w:hAnsi="GHEA Grapalat"/>
          <w:sz w:val="24"/>
          <w:szCs w:val="24"/>
          <w:lang w:val="hy-AM"/>
        </w:rPr>
        <w:t xml:space="preserve">փուլային </w:t>
      </w:r>
      <w:r w:rsidRPr="00887050">
        <w:rPr>
          <w:rFonts w:ascii="GHEA Grapalat" w:hAnsi="GHEA Grapalat"/>
          <w:sz w:val="24"/>
          <w:szCs w:val="24"/>
          <w:lang w:val="hy-AM"/>
        </w:rPr>
        <w:t>բարձրացումը</w:t>
      </w:r>
      <w:r w:rsidR="008877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55A">
        <w:rPr>
          <w:rFonts w:ascii="GHEA Grapalat" w:hAnsi="GHEA Grapalat"/>
          <w:sz w:val="24"/>
          <w:szCs w:val="24"/>
          <w:lang w:val="hy-AM"/>
        </w:rPr>
        <w:t>կանխատեսվող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հարկաբյուջետային հնարավորություններին համապատասխան</w:t>
      </w:r>
      <w:r w:rsidR="00B57218">
        <w:rPr>
          <w:rFonts w:ascii="GHEA Grapalat" w:hAnsi="GHEA Grapalat"/>
          <w:sz w:val="24"/>
          <w:szCs w:val="24"/>
          <w:lang w:val="hy-AM"/>
        </w:rPr>
        <w:t>՝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հանդիսանում է</w:t>
      </w:r>
      <w:r>
        <w:rPr>
          <w:rFonts w:ascii="GHEA Grapalat" w:hAnsi="GHEA Grapalat"/>
          <w:sz w:val="24"/>
          <w:szCs w:val="24"/>
          <w:lang w:val="hy-AM"/>
        </w:rPr>
        <w:t xml:space="preserve"> ԱՀԱ ներդրման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ABC" w:rsidRPr="00887050">
        <w:rPr>
          <w:rFonts w:ascii="GHEA Grapalat" w:hAnsi="GHEA Grapalat"/>
          <w:sz w:val="24"/>
          <w:szCs w:val="24"/>
          <w:lang w:val="hy-AM"/>
        </w:rPr>
        <w:t>առաջնային նպատակ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7BC2D605" w14:textId="6244A794" w:rsidR="00B60E85" w:rsidRDefault="00EE28BA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 xml:space="preserve">Բացի ֆինանսական պաշտպանվածության մակարդակի բարձրացումը, </w:t>
      </w:r>
      <w:r w:rsidR="00B60E85">
        <w:rPr>
          <w:rFonts w:ascii="GHEA Grapalat" w:hAnsi="GHEA Grapalat"/>
          <w:sz w:val="24"/>
          <w:szCs w:val="24"/>
          <w:lang w:val="hy-AM"/>
        </w:rPr>
        <w:t>ԱՀԱ-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ի ներդրումը նպատակ ունի նաև վերացնել ներկայումս պետության կողմից ֆինանսավորվող ծրագրերում առկա մասնատումը </w:t>
      </w:r>
      <w:r w:rsidRPr="00A16E77">
        <w:rPr>
          <w:rFonts w:ascii="GHEA Grapalat" w:hAnsi="GHEA Grapalat"/>
          <w:sz w:val="24"/>
          <w:szCs w:val="24"/>
          <w:lang w:val="hy-AM"/>
        </w:rPr>
        <w:t>(</w:t>
      </w:r>
      <w:r w:rsidRPr="00887050">
        <w:rPr>
          <w:rFonts w:ascii="GHEA Grapalat" w:hAnsi="GHEA Grapalat"/>
          <w:sz w:val="24"/>
          <w:szCs w:val="24"/>
          <w:lang w:val="hy-AM"/>
        </w:rPr>
        <w:t>ֆրագմենտացիան</w:t>
      </w:r>
      <w:r w:rsidRPr="00A16E77">
        <w:rPr>
          <w:rFonts w:ascii="GHEA Grapalat" w:hAnsi="GHEA Grapalat"/>
          <w:sz w:val="24"/>
          <w:szCs w:val="24"/>
          <w:lang w:val="hy-AM"/>
        </w:rPr>
        <w:t>)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, ինչպես նաև իրականացնել հատուցումներ 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նորմատիվային ծախսերի հիման վրա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հաշվարկված գներով՝ դրանով իսկ ապահովելով բուժօգնության որակի 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ստանդարտներ</w:t>
      </w:r>
      <w:r w:rsidR="00DE07D4">
        <w:rPr>
          <w:rFonts w:ascii="GHEA Grapalat" w:hAnsi="GHEA Grapalat"/>
          <w:sz w:val="24"/>
          <w:szCs w:val="24"/>
          <w:lang w:val="hy-AM"/>
        </w:rPr>
        <w:t>ը</w:t>
      </w:r>
      <w:r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3297D4DB" w14:textId="093DA787" w:rsidR="00EE28BA" w:rsidRPr="00887050" w:rsidRDefault="00B60E85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</w:t>
      </w:r>
      <w:r w:rsidR="007525EF">
        <w:rPr>
          <w:rFonts w:ascii="GHEA Grapalat" w:hAnsi="GHEA Grapalat"/>
          <w:sz w:val="24"/>
          <w:szCs w:val="24"/>
          <w:lang w:val="hy-AM"/>
        </w:rPr>
        <w:t xml:space="preserve"> սահուն ներդրումն ապահովելու համար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պահանջ</w:t>
      </w:r>
      <w:r w:rsidR="007525EF">
        <w:rPr>
          <w:rFonts w:ascii="GHEA Grapalat" w:hAnsi="GHEA Grapalat"/>
          <w:sz w:val="24"/>
          <w:szCs w:val="24"/>
          <w:lang w:val="hy-AM"/>
        </w:rPr>
        <w:t>վ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>ում է ապահովագրության Հիմնադրամի գործառու</w:t>
      </w:r>
      <w:r>
        <w:rPr>
          <w:rFonts w:ascii="GHEA Grapalat" w:hAnsi="GHEA Grapalat"/>
          <w:sz w:val="24"/>
          <w:szCs w:val="24"/>
          <w:lang w:val="hy-AM"/>
        </w:rPr>
        <w:t>յ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թների </w:t>
      </w:r>
      <w:r w:rsidR="007525EF">
        <w:rPr>
          <w:rFonts w:ascii="GHEA Grapalat" w:hAnsi="GHEA Grapalat"/>
          <w:sz w:val="24"/>
          <w:szCs w:val="24"/>
          <w:lang w:val="hy-AM"/>
        </w:rPr>
        <w:t xml:space="preserve">և կարողությունների 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փորձարկում, մասնագիտացված կադրերի հավաքագրում, կրթում, տեղեկատվական </w:t>
      </w:r>
      <w:r w:rsidR="00DE07D4">
        <w:rPr>
          <w:rFonts w:ascii="GHEA Grapalat" w:hAnsi="GHEA Grapalat"/>
          <w:sz w:val="24"/>
          <w:szCs w:val="24"/>
          <w:lang w:val="hy-AM"/>
        </w:rPr>
        <w:t>համակարգ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երի մշակում և փորձարկում։ </w:t>
      </w:r>
      <w:r w:rsidR="007525EF">
        <w:rPr>
          <w:rFonts w:ascii="GHEA Grapalat" w:hAnsi="GHEA Grapalat"/>
          <w:sz w:val="24"/>
          <w:szCs w:val="24"/>
          <w:lang w:val="hy-AM"/>
        </w:rPr>
        <w:t>Միաժամանակ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ԱՆ կողմից սկսված առողջության առաջնային պահպանման օղակի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 xml:space="preserve">, տեղեկատվական </w:t>
      </w:r>
      <w:r w:rsidR="00DE07D4">
        <w:rPr>
          <w:rFonts w:ascii="GHEA Grapalat" w:hAnsi="GHEA Grapalat"/>
          <w:sz w:val="24"/>
          <w:szCs w:val="24"/>
          <w:lang w:val="hy-AM"/>
        </w:rPr>
        <w:t>համակարգ</w:t>
      </w:r>
      <w:r w:rsidR="00140EB7">
        <w:rPr>
          <w:rFonts w:ascii="GHEA Grapalat" w:hAnsi="GHEA Grapalat"/>
          <w:sz w:val="24"/>
          <w:szCs w:val="24"/>
          <w:lang w:val="hy-AM"/>
        </w:rPr>
        <w:t>եր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ի, բուժօգնության որակի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բարելավման միջոցառումներ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lastRenderedPageBreak/>
        <w:t>առողջապահական ենթակառուցվածքների զարգացումը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 xml:space="preserve">հընթացս կնպաստեն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ի արդյունավետ ներդրմանը</w:t>
      </w:r>
      <w:r w:rsidR="00EE28BA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7DB58D46" w14:textId="4992EB28" w:rsidR="00EE28BA" w:rsidRPr="001D458C" w:rsidRDefault="00EE28BA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 xml:space="preserve">Հաշվի առնելով վերը թվարկվածները, ինչպես նաև ԱՀԱ հայեցակարգով սահմանված նպատակներին կարճաժամկետ հատվածում հասնելու կարևորությունը, </w:t>
      </w:r>
      <w:r w:rsidR="00B60E85">
        <w:rPr>
          <w:rFonts w:ascii="GHEA Grapalat" w:hAnsi="GHEA Grapalat"/>
          <w:sz w:val="24"/>
          <w:szCs w:val="24"/>
          <w:lang w:val="hy-AM"/>
        </w:rPr>
        <w:t>ԱՀԱ-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ը </w:t>
      </w:r>
      <w:r w:rsidR="00B60E85">
        <w:rPr>
          <w:rFonts w:ascii="GHEA Grapalat" w:hAnsi="GHEA Grapalat"/>
          <w:sz w:val="24"/>
          <w:szCs w:val="24"/>
          <w:lang w:val="hy-AM"/>
        </w:rPr>
        <w:t>կ</w:t>
      </w:r>
      <w:r w:rsidRPr="00887050">
        <w:rPr>
          <w:rFonts w:ascii="GHEA Grapalat" w:hAnsi="GHEA Grapalat"/>
          <w:sz w:val="24"/>
          <w:szCs w:val="24"/>
          <w:lang w:val="hy-AM"/>
        </w:rPr>
        <w:t>ներդ</w:t>
      </w:r>
      <w:r w:rsidR="00B60E85">
        <w:rPr>
          <w:rFonts w:ascii="GHEA Grapalat" w:hAnsi="GHEA Grapalat"/>
          <w:sz w:val="24"/>
          <w:szCs w:val="24"/>
          <w:lang w:val="hy-AM"/>
        </w:rPr>
        <w:t>րվի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փուլային տարբերակով, որտեղ առաջին տարին</w:t>
      </w:r>
      <w:r w:rsidRPr="00A16E77">
        <w:rPr>
          <w:rFonts w:ascii="GHEA Grapalat" w:hAnsi="GHEA Grapalat"/>
          <w:sz w:val="24"/>
          <w:szCs w:val="24"/>
          <w:lang w:val="hy-AM"/>
        </w:rPr>
        <w:t>` 2023</w:t>
      </w:r>
      <w:r w:rsidR="00B60E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թվականը </w:t>
      </w:r>
      <w:r w:rsidR="00140EB7">
        <w:rPr>
          <w:rFonts w:ascii="GHEA Grapalat" w:hAnsi="GHEA Grapalat"/>
          <w:sz w:val="24"/>
          <w:szCs w:val="24"/>
          <w:lang w:val="hy-AM"/>
        </w:rPr>
        <w:t>կլինի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«նախապատրաստ</w:t>
      </w:r>
      <w:r w:rsidR="00140EB7">
        <w:rPr>
          <w:rFonts w:ascii="GHEA Grapalat" w:hAnsi="GHEA Grapalat"/>
          <w:sz w:val="24"/>
          <w:szCs w:val="24"/>
          <w:lang w:val="hy-AM"/>
        </w:rPr>
        <w:t>ական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փուլ»</w:t>
      </w:r>
      <w:r w:rsidRPr="00887050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հաջորդ երեք տարիները՝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 2024-2026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թվականները կլինեն «փորձարկման փուլ», իսկ արդեն չորրորդ տար</w:t>
      </w:r>
      <w:r w:rsidR="00140EB7">
        <w:rPr>
          <w:rFonts w:ascii="GHEA Grapalat" w:hAnsi="GHEA Grapalat"/>
          <w:sz w:val="24"/>
          <w:szCs w:val="24"/>
          <w:lang w:val="hy-AM"/>
        </w:rPr>
        <w:t>վանից</w:t>
      </w:r>
      <w:r w:rsidRPr="00A16E77">
        <w:rPr>
          <w:rFonts w:ascii="GHEA Grapalat" w:hAnsi="GHEA Grapalat"/>
          <w:sz w:val="24"/>
          <w:szCs w:val="24"/>
          <w:lang w:val="hy-AM"/>
        </w:rPr>
        <w:t>` 2027</w:t>
      </w:r>
      <w:r w:rsidR="001536BD" w:rsidRPr="00A16E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թվականից </w:t>
      </w:r>
      <w:r w:rsidR="00B60E85">
        <w:rPr>
          <w:rFonts w:ascii="GHEA Grapalat" w:hAnsi="GHEA Grapalat"/>
          <w:sz w:val="24"/>
          <w:szCs w:val="24"/>
          <w:lang w:val="hy-AM"/>
        </w:rPr>
        <w:t>ԱՀԱ-</w:t>
      </w:r>
      <w:r w:rsidRPr="00887050">
        <w:rPr>
          <w:rFonts w:ascii="GHEA Grapalat" w:hAnsi="GHEA Grapalat"/>
          <w:sz w:val="24"/>
          <w:szCs w:val="24"/>
          <w:lang w:val="hy-AM"/>
        </w:rPr>
        <w:t>ն կ</w:t>
      </w:r>
      <w:r w:rsidR="00A66A7E" w:rsidRPr="00887050">
        <w:rPr>
          <w:rFonts w:ascii="GHEA Grapalat" w:hAnsi="GHEA Grapalat"/>
          <w:sz w:val="24"/>
          <w:szCs w:val="24"/>
          <w:lang w:val="hy-AM"/>
        </w:rPr>
        <w:t>կիրարկվ</w:t>
      </w:r>
      <w:r w:rsidRPr="00887050">
        <w:rPr>
          <w:rFonts w:ascii="GHEA Grapalat" w:hAnsi="GHEA Grapalat"/>
          <w:sz w:val="24"/>
          <w:szCs w:val="24"/>
          <w:lang w:val="hy-AM"/>
        </w:rPr>
        <w:t>ի</w:t>
      </w:r>
      <w:r w:rsidR="00140EB7" w:rsidRPr="00140EB7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EB7" w:rsidRPr="00887050">
        <w:rPr>
          <w:rFonts w:ascii="GHEA Grapalat" w:hAnsi="GHEA Grapalat"/>
          <w:sz w:val="24"/>
          <w:szCs w:val="24"/>
          <w:lang w:val="hy-AM"/>
        </w:rPr>
        <w:t>ամբողջությամբ</w:t>
      </w:r>
      <w:r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2454465C" w14:textId="564F98F2" w:rsidR="001D458C" w:rsidRPr="00887050" w:rsidRDefault="001D458C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 ներդրման յուրաքանչյուր փուլի ընթացքում կիրականացվեն ծածկույթի ծախսերի հաշվարկները և կորոշվի ապահովագրավճարի</w:t>
      </w:r>
      <w:r w:rsidR="00BA6D4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չափը, ըստ ապահովագրվածների խմբերի պետության համաֆինանսավորման չափը և ապահովագրվածների մասնակցության չափը։</w:t>
      </w:r>
    </w:p>
    <w:p w14:paraId="01034E7F" w14:textId="61109353" w:rsidR="00F440D3" w:rsidRPr="00887050" w:rsidRDefault="00F440D3" w:rsidP="0088705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GHEA Grapalat" w:hAnsi="GHEA Grapalat" w:cs="Cambria Math"/>
          <w:sz w:val="24"/>
          <w:szCs w:val="24"/>
          <w:lang w:val="hy-AM"/>
        </w:rPr>
      </w:pP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>ԱՀԱ ներդր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>ու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մն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ըստ նախանշված ռազմավարության և </w:t>
      </w:r>
      <w:r w:rsidR="003B4E00">
        <w:rPr>
          <w:rFonts w:ascii="GHEA Grapalat" w:eastAsia="GHEA Grapalat" w:hAnsi="GHEA Grapalat" w:cs="Arial"/>
          <w:sz w:val="24"/>
          <w:szCs w:val="24"/>
          <w:lang w:val="hy-AM"/>
        </w:rPr>
        <w:t xml:space="preserve">յուրաքանչյուր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>փուլ</w:t>
      </w:r>
      <w:r w:rsidR="003B4E00">
        <w:rPr>
          <w:rFonts w:ascii="GHEA Grapalat" w:eastAsia="GHEA Grapalat" w:hAnsi="GHEA Grapalat" w:cs="Arial"/>
          <w:sz w:val="24"/>
          <w:szCs w:val="24"/>
          <w:lang w:val="hy-AM"/>
        </w:rPr>
        <w:t>ում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իրականաց</w:t>
      </w:r>
      <w:r w:rsidR="003B4E00">
        <w:rPr>
          <w:rFonts w:ascii="GHEA Grapalat" w:eastAsia="GHEA Grapalat" w:hAnsi="GHEA Grapalat" w:cs="Arial"/>
          <w:sz w:val="24"/>
          <w:szCs w:val="24"/>
          <w:lang w:val="hy-AM"/>
        </w:rPr>
        <w:t>ման ենթակա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6A0259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միջոցառումները</w:t>
      </w:r>
      <w:r w:rsidR="003B4E00">
        <w:rPr>
          <w:rFonts w:ascii="GHEA Grapalat" w:eastAsia="GHEA Grapalat" w:hAnsi="GHEA Grapalat" w:cs="Arial"/>
          <w:sz w:val="24"/>
          <w:szCs w:val="24"/>
          <w:lang w:val="hy-AM"/>
        </w:rPr>
        <w:t>,</w:t>
      </w:r>
      <w:r w:rsidR="006A0259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դրանց </w:t>
      </w:r>
      <w:r w:rsidR="00EE28BA" w:rsidRPr="00887050">
        <w:rPr>
          <w:rFonts w:ascii="GHEA Grapalat" w:eastAsia="GHEA Grapalat" w:hAnsi="GHEA Grapalat" w:cs="Arial"/>
          <w:sz w:val="24"/>
          <w:szCs w:val="24"/>
          <w:lang w:val="hy-AM"/>
        </w:rPr>
        <w:t>կատարման</w:t>
      </w:r>
      <w:r w:rsidR="006A0259"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 ժամկետները </w:t>
      </w:r>
      <w:r w:rsidRPr="00887050">
        <w:rPr>
          <w:rFonts w:ascii="GHEA Grapalat" w:eastAsia="GHEA Grapalat" w:hAnsi="GHEA Grapalat" w:cs="Arial"/>
          <w:sz w:val="24"/>
          <w:szCs w:val="24"/>
          <w:lang w:val="hy-AM"/>
        </w:rPr>
        <w:t xml:space="preserve">ներկայացված են </w:t>
      </w:r>
      <w:r w:rsidRPr="0082534D">
        <w:rPr>
          <w:rFonts w:ascii="GHEA Grapalat" w:eastAsia="GHEA Grapalat" w:hAnsi="GHEA Grapalat" w:cs="Arial"/>
          <w:sz w:val="24"/>
          <w:szCs w:val="24"/>
          <w:lang w:val="hy-AM"/>
        </w:rPr>
        <w:t xml:space="preserve">Հավելված </w:t>
      </w:r>
      <w:r w:rsidR="0082534D" w:rsidRPr="0082534D">
        <w:rPr>
          <w:rFonts w:ascii="GHEA Grapalat" w:eastAsia="GHEA Grapalat" w:hAnsi="GHEA Grapalat" w:cs="Arial"/>
          <w:sz w:val="24"/>
          <w:szCs w:val="24"/>
          <w:lang w:val="hy-AM"/>
        </w:rPr>
        <w:t>1</w:t>
      </w:r>
      <w:r w:rsidR="0082534D" w:rsidRPr="00A16E77">
        <w:rPr>
          <w:rFonts w:ascii="GHEA Grapalat" w:eastAsia="GHEA Grapalat" w:hAnsi="GHEA Grapalat" w:cs="Arial"/>
          <w:sz w:val="24"/>
          <w:szCs w:val="24"/>
          <w:lang w:val="hy-AM"/>
        </w:rPr>
        <w:t>-</w:t>
      </w:r>
      <w:r w:rsidR="0082534D">
        <w:rPr>
          <w:rFonts w:ascii="GHEA Grapalat" w:eastAsia="GHEA Grapalat" w:hAnsi="GHEA Grapalat" w:cs="Arial"/>
          <w:sz w:val="24"/>
          <w:szCs w:val="24"/>
          <w:lang w:val="hy-AM"/>
        </w:rPr>
        <w:t>ում։</w:t>
      </w:r>
    </w:p>
    <w:p w14:paraId="65787796" w14:textId="77777777" w:rsidR="00F440D3" w:rsidRPr="00887050" w:rsidRDefault="00F440D3" w:rsidP="00887050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58FB0" w14:textId="7E53FB67" w:rsidR="00C06E33" w:rsidRPr="00887050" w:rsidRDefault="00B60E85" w:rsidP="00887050">
      <w:pPr>
        <w:pStyle w:val="Heading1"/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13" w:name="_Toc122522080"/>
      <w:bookmarkEnd w:id="0"/>
      <w:r>
        <w:rPr>
          <w:rFonts w:ascii="GHEA Grapalat" w:hAnsi="GHEA Grapalat"/>
          <w:sz w:val="24"/>
          <w:szCs w:val="24"/>
        </w:rPr>
        <w:t>3</w:t>
      </w:r>
      <w:r w:rsidR="00ED3A52" w:rsidRPr="00887050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ԱՀԱ ծ</w:t>
      </w:r>
      <w:r w:rsidR="009874EF" w:rsidRPr="00887050">
        <w:rPr>
          <w:rFonts w:ascii="GHEA Grapalat" w:hAnsi="GHEA Grapalat"/>
          <w:sz w:val="24"/>
          <w:szCs w:val="24"/>
          <w:lang w:val="hy-AM"/>
        </w:rPr>
        <w:t>ածկույթի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 նկարագրությունը</w:t>
      </w:r>
      <w:bookmarkEnd w:id="13"/>
    </w:p>
    <w:p w14:paraId="1E4ED2E0" w14:textId="0A890138" w:rsidR="00EA6ADC" w:rsidRPr="00887050" w:rsidRDefault="00B60E85" w:rsidP="00887050">
      <w:pPr>
        <w:pStyle w:val="Heading1"/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14" w:name="_Toc122522081"/>
      <w:r>
        <w:rPr>
          <w:rFonts w:ascii="GHEA Grapalat" w:hAnsi="GHEA Grapalat"/>
          <w:sz w:val="24"/>
          <w:szCs w:val="24"/>
        </w:rPr>
        <w:t>3</w:t>
      </w:r>
      <w:r w:rsidR="001E7102" w:rsidRPr="00887050">
        <w:rPr>
          <w:rFonts w:ascii="GHEA Grapalat" w:hAnsi="GHEA Grapalat"/>
          <w:sz w:val="24"/>
          <w:szCs w:val="24"/>
        </w:rPr>
        <w:t xml:space="preserve">.1 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>Բնակչություն</w:t>
      </w:r>
      <w:bookmarkEnd w:id="14"/>
    </w:p>
    <w:p w14:paraId="0806396A" w14:textId="08986166" w:rsidR="00A22DC6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</w:t>
      </w:r>
      <w:r w:rsidR="00A54270" w:rsidRPr="00887050">
        <w:rPr>
          <w:rFonts w:ascii="GHEA Grapalat" w:hAnsi="GHEA Grapalat"/>
          <w:sz w:val="24"/>
          <w:szCs w:val="24"/>
          <w:lang w:val="hy-AM"/>
        </w:rPr>
        <w:t xml:space="preserve"> ներդրման 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 xml:space="preserve">առաջին՝ 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>նախապատրաստ</w:t>
      </w:r>
      <w:r w:rsidR="00140EB7">
        <w:rPr>
          <w:rFonts w:ascii="GHEA Grapalat" w:hAnsi="GHEA Grapalat"/>
          <w:sz w:val="24"/>
          <w:szCs w:val="24"/>
          <w:lang w:val="hy-AM"/>
        </w:rPr>
        <w:t>ական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 xml:space="preserve"> փուլում կսահմանվեն յուրաքանչյուր փուլում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 xml:space="preserve">ում ընդգրկվող բնակչության խմբերը, կպատրաստվեն վերջիններիս տվյալների բազաները, կիրականացվի դրանց նույնականացումը այլ տվյալների բազաների հետ, ինչպես նաև էլեկտրոնային ապահովագրական </w:t>
      </w:r>
      <w:r w:rsidR="000B6D11">
        <w:rPr>
          <w:rFonts w:ascii="GHEA Grapalat" w:hAnsi="GHEA Grapalat"/>
          <w:sz w:val="24"/>
          <w:szCs w:val="24"/>
          <w:lang w:val="hy-AM"/>
        </w:rPr>
        <w:t>փ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 xml:space="preserve">ոլիսների </w:t>
      </w:r>
      <w:r>
        <w:rPr>
          <w:rFonts w:ascii="GHEA Grapalat" w:hAnsi="GHEA Grapalat"/>
          <w:sz w:val="24"/>
          <w:szCs w:val="24"/>
          <w:lang w:val="hy-AM"/>
        </w:rPr>
        <w:t>թողարկումը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05700F87" w14:textId="16906DD0" w:rsidR="00A22DC6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</w:t>
      </w:r>
      <w:r w:rsidR="008B756E" w:rsidRPr="00887050">
        <w:rPr>
          <w:rFonts w:ascii="GHEA Grapalat" w:hAnsi="GHEA Grapalat"/>
          <w:sz w:val="24"/>
          <w:szCs w:val="24"/>
          <w:lang w:val="hy-AM"/>
        </w:rPr>
        <w:t xml:space="preserve"> ներդրման երկրորդ՝ փորձարկման փուլի </w:t>
      </w:r>
      <w:r w:rsidR="008B756E" w:rsidRPr="00A16E77">
        <w:rPr>
          <w:rFonts w:ascii="GHEA Grapalat" w:hAnsi="GHEA Grapalat"/>
          <w:sz w:val="24"/>
          <w:szCs w:val="24"/>
          <w:lang w:val="hy-AM"/>
        </w:rPr>
        <w:t>1-</w:t>
      </w:r>
      <w:r w:rsidR="008B756E" w:rsidRPr="00887050">
        <w:rPr>
          <w:rFonts w:ascii="GHEA Grapalat" w:hAnsi="GHEA Grapalat"/>
          <w:sz w:val="24"/>
          <w:szCs w:val="24"/>
          <w:lang w:val="hy-AM"/>
        </w:rPr>
        <w:t xml:space="preserve">ին տարվա ընթացքում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8B756E" w:rsidRPr="00887050">
        <w:rPr>
          <w:rFonts w:ascii="GHEA Grapalat" w:hAnsi="GHEA Grapalat"/>
          <w:sz w:val="24"/>
          <w:szCs w:val="24"/>
          <w:lang w:val="hy-AM"/>
        </w:rPr>
        <w:t>ում կընդգրկվեն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 xml:space="preserve"> պ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>ետության կողմից սահմանված բնակչության խմբեր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>ը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, այդ թվում՝ նպաստի </w:t>
      </w:r>
      <w:r w:rsidR="00243D9B">
        <w:rPr>
          <w:rFonts w:ascii="GHEA Grapalat" w:hAnsi="GHEA Grapalat"/>
          <w:sz w:val="24"/>
          <w:szCs w:val="24"/>
          <w:lang w:val="hy-AM"/>
        </w:rPr>
        <w:t>համակարգ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ում ընդգրկված և </w:t>
      </w:r>
      <w:r w:rsidR="00C06E33" w:rsidRPr="00A16E77">
        <w:rPr>
          <w:rFonts w:ascii="GHEA Grapalat" w:hAnsi="GHEA Grapalat"/>
          <w:sz w:val="24"/>
          <w:szCs w:val="24"/>
          <w:lang w:val="hy-AM"/>
        </w:rPr>
        <w:t>28</w:t>
      </w:r>
      <w:r w:rsidR="000B661A" w:rsidRPr="00A16E77">
        <w:rPr>
          <w:rFonts w:ascii="GHEA Grapalat" w:hAnsi="GHEA Grapalat"/>
          <w:sz w:val="24"/>
          <w:szCs w:val="24"/>
          <w:lang w:val="hy-AM"/>
        </w:rPr>
        <w:t>,01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 և ավելի միավոր ունեցող ընտանիքի անդամներ, հաշմանդամ</w:t>
      </w:r>
      <w:r w:rsidR="000B661A">
        <w:rPr>
          <w:rFonts w:ascii="GHEA Grapalat" w:hAnsi="GHEA Grapalat"/>
          <w:sz w:val="24"/>
          <w:szCs w:val="24"/>
          <w:lang w:val="hy-AM"/>
        </w:rPr>
        <w:t>ություն ունեցող անձիք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, 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EA6ADC" w:rsidRPr="00A16E77">
        <w:rPr>
          <w:rFonts w:ascii="GHEA Grapalat" w:hAnsi="GHEA Grapalat"/>
          <w:sz w:val="24"/>
          <w:szCs w:val="24"/>
          <w:lang w:val="hy-AM"/>
        </w:rPr>
        <w:t xml:space="preserve">18 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>տարեկան</w:t>
      </w:r>
      <w:r w:rsidR="008B756E" w:rsidRPr="00887050">
        <w:rPr>
          <w:rFonts w:ascii="GHEA Grapalat" w:hAnsi="GHEA Grapalat"/>
          <w:sz w:val="24"/>
          <w:szCs w:val="24"/>
          <w:lang w:val="hy-AM"/>
        </w:rPr>
        <w:t xml:space="preserve"> երեխաներ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, բնակչության սոցիալապես անապահով </w:t>
      </w:r>
      <w:r w:rsidR="000B661A">
        <w:rPr>
          <w:rFonts w:ascii="GHEA Grapalat" w:hAnsi="GHEA Grapalat"/>
          <w:sz w:val="24"/>
          <w:szCs w:val="24"/>
          <w:lang w:val="hy-AM"/>
        </w:rPr>
        <w:t xml:space="preserve">և հատուկ 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 xml:space="preserve">խմբերում ընդգրկված </w:t>
      </w:r>
      <w:r w:rsidR="00FC67EA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C06E33" w:rsidRPr="00887050">
        <w:rPr>
          <w:rFonts w:ascii="GHEA Grapalat" w:hAnsi="GHEA Grapalat"/>
          <w:sz w:val="24"/>
          <w:szCs w:val="24"/>
          <w:lang w:val="hy-AM"/>
        </w:rPr>
        <w:t>անձիք, սոցիալական փաթեթում ընդգրկված շահառուներ</w:t>
      </w:r>
      <w:r w:rsidR="00EA6ADC" w:rsidRPr="00887050">
        <w:rPr>
          <w:rFonts w:ascii="GHEA Grapalat" w:hAnsi="GHEA Grapalat"/>
          <w:sz w:val="24"/>
          <w:szCs w:val="24"/>
          <w:lang w:val="hy-AM"/>
        </w:rPr>
        <w:t>։</w:t>
      </w:r>
      <w:r w:rsidR="00A55323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 xml:space="preserve">Փորձարկման փուլի </w:t>
      </w:r>
      <w:r w:rsidR="006D2A80" w:rsidRPr="00A16E77">
        <w:rPr>
          <w:rFonts w:ascii="GHEA Grapalat" w:hAnsi="GHEA Grapalat"/>
          <w:sz w:val="24"/>
          <w:szCs w:val="24"/>
          <w:lang w:val="hy-AM"/>
        </w:rPr>
        <w:t>2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-րդ տարվա ընթացքում պետության կողմից սահմանված բնակչության խմբերին կմիանան նաև </w:t>
      </w:r>
      <w:r w:rsidR="006D2A80" w:rsidRPr="00A16E77">
        <w:rPr>
          <w:rFonts w:ascii="GHEA Grapalat" w:hAnsi="GHEA Grapalat"/>
          <w:sz w:val="24"/>
          <w:szCs w:val="24"/>
          <w:lang w:val="hy-AM"/>
        </w:rPr>
        <w:t>63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 և բարձր տարիքի քաղաքացիները, ինչպես նաև պետական հատվածի վարձու աշխատողները։ Փորձարկման փուլի վերջին տարում</w:t>
      </w:r>
      <w:r w:rsidR="00FC67EA" w:rsidRPr="00A16E77">
        <w:rPr>
          <w:rFonts w:ascii="GHEA Grapalat" w:hAnsi="GHEA Grapalat"/>
          <w:sz w:val="24"/>
          <w:szCs w:val="24"/>
          <w:lang w:val="hy-AM"/>
        </w:rPr>
        <w:t>` 2026</w:t>
      </w:r>
      <w:r w:rsidR="00FC67EA">
        <w:rPr>
          <w:rFonts w:ascii="GHEA Grapalat" w:hAnsi="GHEA Grapalat"/>
          <w:sz w:val="24"/>
          <w:szCs w:val="24"/>
          <w:lang w:val="hy-AM"/>
        </w:rPr>
        <w:t xml:space="preserve"> թվականին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>ին հնարավորություն կունենան միանալու բոլոր վարձու աշխատողները</w:t>
      </w:r>
      <w:r w:rsidR="00960A26">
        <w:rPr>
          <w:rFonts w:ascii="GHEA Grapalat" w:hAnsi="GHEA Grapalat"/>
          <w:sz w:val="24"/>
          <w:szCs w:val="24"/>
          <w:lang w:val="hy-AM"/>
        </w:rPr>
        <w:t>, ինքնազբաղված անձինք և գնուղատնտեսությունում զբաղվածները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29EBCF97" w14:textId="4824E4B9" w:rsidR="00FE28D2" w:rsidRDefault="00FE28D2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lastRenderedPageBreak/>
        <w:t xml:space="preserve">Նախատեսվում է, որ </w:t>
      </w:r>
      <w:r w:rsidR="00B60E85">
        <w:rPr>
          <w:rFonts w:ascii="GHEA Grapalat" w:hAnsi="GHEA Grapalat"/>
          <w:sz w:val="24"/>
          <w:szCs w:val="24"/>
          <w:lang w:val="hy-AM"/>
        </w:rPr>
        <w:t>ԱՀԱ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ներդրման </w:t>
      </w:r>
      <w:r w:rsidR="0092639D">
        <w:rPr>
          <w:rFonts w:ascii="GHEA Grapalat" w:hAnsi="GHEA Grapalat"/>
          <w:sz w:val="24"/>
          <w:szCs w:val="24"/>
          <w:lang w:val="hy-AM"/>
        </w:rPr>
        <w:t>վերջին՝ կիրարկման փուլում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ՀՀ բոլոր քաղաքացիները կամ նրանց գերակշիռ մեծամասնությունը </w:t>
      </w:r>
      <w:r w:rsidRPr="00A16E77">
        <w:rPr>
          <w:rFonts w:ascii="GHEA Grapalat" w:hAnsi="GHEA Grapalat"/>
          <w:sz w:val="24"/>
          <w:szCs w:val="24"/>
          <w:lang w:val="hy-AM"/>
        </w:rPr>
        <w:t>(95%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և ավել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25EF">
        <w:rPr>
          <w:rFonts w:ascii="GHEA Grapalat" w:hAnsi="GHEA Grapalat"/>
          <w:sz w:val="24"/>
          <w:szCs w:val="24"/>
          <w:lang w:val="hy-AM"/>
        </w:rPr>
        <w:t xml:space="preserve">կունենան միևնույն ծառայությունների </w:t>
      </w:r>
      <w:r w:rsidR="00F761DE">
        <w:rPr>
          <w:rFonts w:ascii="GHEA Grapalat" w:hAnsi="GHEA Grapalat"/>
          <w:sz w:val="24"/>
          <w:szCs w:val="24"/>
          <w:lang w:val="hy-AM"/>
        </w:rPr>
        <w:t>փաթեթը</w:t>
      </w:r>
      <w:r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3A976C65" w14:textId="6AE83000" w:rsidR="00CE4287" w:rsidRDefault="00CE4287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4287">
        <w:rPr>
          <w:rFonts w:ascii="GHEA Grapalat" w:hAnsi="GHEA Grapalat"/>
          <w:sz w:val="24"/>
          <w:szCs w:val="24"/>
          <w:lang w:val="hy-AM"/>
        </w:rPr>
        <w:t xml:space="preserve">Կախված </w:t>
      </w:r>
      <w:r>
        <w:rPr>
          <w:rFonts w:ascii="GHEA Grapalat" w:hAnsi="GHEA Grapalat"/>
          <w:sz w:val="24"/>
          <w:szCs w:val="24"/>
          <w:lang w:val="hy-AM"/>
        </w:rPr>
        <w:t>հարկաբյուջետային հնարավորություններից՝ պետական բյուջեի</w:t>
      </w:r>
      <w:r w:rsidRPr="00CE4287">
        <w:rPr>
          <w:rFonts w:ascii="GHEA Grapalat" w:hAnsi="GHEA Grapalat"/>
          <w:sz w:val="24"/>
          <w:szCs w:val="24"/>
          <w:lang w:val="hy-AM"/>
        </w:rPr>
        <w:t xml:space="preserve"> հատկացումների ծավալից և փորձարկման փուլի տարեկան փաստացի ցուցանիշներից, </w:t>
      </w:r>
      <w:r w:rsidR="00074529">
        <w:rPr>
          <w:rFonts w:ascii="GHEA Grapalat" w:hAnsi="GHEA Grapalat"/>
          <w:sz w:val="24"/>
          <w:szCs w:val="24"/>
          <w:lang w:val="hy-AM"/>
        </w:rPr>
        <w:t xml:space="preserve">փորձարկման փուլում </w:t>
      </w:r>
      <w:r w:rsidRPr="00CE4287">
        <w:rPr>
          <w:rFonts w:ascii="GHEA Grapalat" w:hAnsi="GHEA Grapalat"/>
          <w:sz w:val="24"/>
          <w:szCs w:val="24"/>
          <w:lang w:val="hy-AM"/>
        </w:rPr>
        <w:t>բնակչության խմբերի ընդգրկման տեմպը կարող է փոփոխվել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19EC0A30" w14:textId="0295C3F0" w:rsidR="00CE4287" w:rsidRDefault="00CE4287" w:rsidP="00CE4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A16E77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Բնակչության ընդգրկման կանխատեսվող ցուցանիշներն ըստ ԱՀԱ ներդրման փուլերի</w:t>
      </w:r>
    </w:p>
    <w:tbl>
      <w:tblPr>
        <w:tblW w:w="10651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78"/>
        <w:gridCol w:w="2392"/>
        <w:gridCol w:w="1447"/>
        <w:gridCol w:w="1343"/>
        <w:gridCol w:w="1170"/>
        <w:gridCol w:w="1170"/>
        <w:gridCol w:w="1170"/>
        <w:gridCol w:w="1381"/>
      </w:tblGrid>
      <w:tr w:rsidR="00526C71" w:rsidRPr="00CE4287" w14:paraId="6D82BE53" w14:textId="77777777" w:rsidTr="00A915EE">
        <w:trPr>
          <w:trHeight w:val="83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4E3A1D3" w14:textId="77777777" w:rsidR="00526C71" w:rsidRPr="00A16E7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EF22F" w14:textId="014B680E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Բնակչության խումբ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E71E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Շահառուների թվաքանակ 2019թ-ի տվյալներով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82F0F" w14:textId="47A5A2B5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Նախապատրաստման փուլ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1F07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Փորձարկման փուլ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B72" w14:textId="6F0A196A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Ամբողջական կիրարկում</w:t>
            </w:r>
          </w:p>
        </w:tc>
      </w:tr>
      <w:tr w:rsidR="00526C71" w:rsidRPr="00CE4287" w14:paraId="4563E832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51C40C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C7528" w14:textId="6BC3F318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54DF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EAF1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2023թ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A2D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2024թ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61B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2025թ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7C5" w14:textId="77777777" w:rsidR="00526C71" w:rsidRPr="00CE4287" w:rsidRDefault="00526C71" w:rsidP="00CE42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2026թ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D1DD" w14:textId="77777777" w:rsidR="00526C71" w:rsidRPr="00CE4287" w:rsidRDefault="00526C71" w:rsidP="00CE4287">
            <w:pPr>
              <w:spacing w:after="0" w:line="240" w:lineRule="auto"/>
              <w:ind w:left="-24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2027թ</w:t>
            </w:r>
          </w:p>
        </w:tc>
      </w:tr>
      <w:tr w:rsidR="00A915EE" w:rsidRPr="00CE4287" w14:paraId="4A376B00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63399B7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CFA8FF" w14:textId="76DAE296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Ընդամենը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930884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                 2,962,000 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BA8D8B" w14:textId="385FC8BB" w:rsidR="00A915EE" w:rsidRPr="00CE4287" w:rsidRDefault="00A915EE" w:rsidP="00A915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 Բնակչության խմբերի և նրանց պետական համաֆինանսավորման չափաքանակների օրենքով ամրագրում, ապահովագրվածների ռեեստրի ձևավորում, էլեկտրոնային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փոլիսների թողարկում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BD4BBF4" w14:textId="68E88891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A16E77">
              <w:rPr>
                <w:lang w:val="ru-RU"/>
              </w:rPr>
              <w:t xml:space="preserve"> </w:t>
            </w:r>
            <w:r w:rsidRPr="00331406">
              <w:t xml:space="preserve">1,364,282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B3B4ACB" w14:textId="1D21746D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1,722,366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CB12EB4" w14:textId="65E1F525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2,307,068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4598B08" w14:textId="497E6DC4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2,868,488 </w:t>
            </w:r>
          </w:p>
        </w:tc>
      </w:tr>
      <w:tr w:rsidR="00A915EE" w:rsidRPr="00CE4287" w14:paraId="06FBF3CA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D0C" w14:textId="44F1C153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893" w14:textId="449CD9D2" w:rsidR="00A915EE" w:rsidRPr="00074529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Հաշմանդամ</w:t>
            </w: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ru-RU"/>
              </w:rPr>
              <w:t>ություն ունեցող անձիք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869E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                    191,959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45B9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79A60" w14:textId="19BD7702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191,959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62B7" w14:textId="40843C5C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191,959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9DA7A" w14:textId="72D05D9F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191,959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F458C" w14:textId="4CE158FF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191,959 </w:t>
            </w:r>
          </w:p>
        </w:tc>
      </w:tr>
      <w:tr w:rsidR="00A915EE" w:rsidRPr="00CE4287" w14:paraId="48B903FD" w14:textId="77777777" w:rsidTr="00A915EE">
        <w:trPr>
          <w:trHeight w:val="8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026" w14:textId="09927934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D64" w14:textId="21960472" w:rsidR="00A915EE" w:rsidRPr="00A16E7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18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և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տարիքի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բնակչության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սոցիալապես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անապահով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և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հատուկ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խմբերում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ընդգրկված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անձիք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D0DD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489,924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7637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0434" w14:textId="73FAA19A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489,924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3222" w14:textId="07E2868A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489,924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A03C3" w14:textId="54F1C8A2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489,924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3FA2" w14:textId="65B0F6A9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489,924 </w:t>
            </w:r>
          </w:p>
        </w:tc>
      </w:tr>
      <w:tr w:rsidR="00A915EE" w:rsidRPr="00CE4287" w14:paraId="2D87205C" w14:textId="77777777" w:rsidTr="00A915EE">
        <w:trPr>
          <w:trHeight w:val="54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DCA" w14:textId="53407085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E74" w14:textId="7F508742" w:rsidR="00A915EE" w:rsidRPr="00A16E7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Աշխատող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բնակչություն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և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ինքնազբաղվածներ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E4287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ru-RU" w:eastAsia="ru-RU"/>
              </w:rPr>
              <w:t>որից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C768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641,802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D6F2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C69F" w14:textId="2BA6FDA8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120,000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AB142" w14:textId="6EEA8E21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269,900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EF3D" w14:textId="4BC9E5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641,802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F530" w14:textId="6C1E5738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641,802 </w:t>
            </w:r>
          </w:p>
        </w:tc>
      </w:tr>
      <w:tr w:rsidR="00A915EE" w:rsidRPr="00CE4287" w14:paraId="6144F6E5" w14:textId="77777777" w:rsidTr="00A915EE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669" w14:textId="51B704BB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2ECE" w14:textId="7D521050" w:rsidR="00A915EE" w:rsidRPr="00A16E7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>պետական</w:t>
            </w:r>
            <w:r w:rsidRPr="00A16E7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>հատվածի</w:t>
            </w:r>
            <w:r w:rsidRPr="00A16E7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>աշխատողներ</w:t>
            </w:r>
            <w:r w:rsidRPr="00A16E7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E4287">
              <w:rPr>
                <w:rFonts w:ascii="GHEA Grapalat" w:eastAsia="Times New Roman" w:hAnsi="GHEA Grapalat" w:cs="Arial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այդ</w:t>
            </w:r>
            <w:r w:rsidRPr="00A16E77">
              <w:rPr>
                <w:rFonts w:ascii="GHEA Grapalat" w:eastAsia="Times New Roman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թվում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7651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A16E7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269,900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E755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5C8D" w14:textId="6304F714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81A9" w14:textId="7DD08FE3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269,900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91493" w14:textId="6B53D3C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269,900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1F9F" w14:textId="6597DB2A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269,900 </w:t>
            </w:r>
          </w:p>
        </w:tc>
      </w:tr>
      <w:tr w:rsidR="00A915EE" w:rsidRPr="00CE4287" w14:paraId="0F704C2B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25B" w14:textId="0ACE863A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8AC1" w14:textId="108AC2F9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սոցփաթեթի շահառուներ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E69A" w14:textId="612D8A10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                   </w:t>
            </w:r>
            <w:r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eastAsia="ru-RU"/>
              </w:rPr>
              <w:t>120,000</w:t>
            </w:r>
            <w:r w:rsidRPr="00CE4287"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8FA4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5D6C" w14:textId="13385D89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120,000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9BFB7" w14:textId="425B9116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</w:t>
            </w:r>
            <w:r w:rsidR="00EE1A90" w:rsidRPr="00331406">
              <w:t>120,000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CB442" w14:textId="3740B526" w:rsidR="00A915EE" w:rsidRPr="00CE4287" w:rsidRDefault="00EE1A90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>120,000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2DA8" w14:textId="62359BA8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</w:t>
            </w:r>
            <w:r w:rsidR="00EE1A90" w:rsidRPr="00331406">
              <w:t>120,000</w:t>
            </w:r>
          </w:p>
        </w:tc>
      </w:tr>
      <w:tr w:rsidR="00A915EE" w:rsidRPr="00CE4287" w14:paraId="30F88CBC" w14:textId="77777777" w:rsidTr="00A915EE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813" w14:textId="30001F83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1B2" w14:textId="15A3A3DE" w:rsidR="00A915EE" w:rsidRPr="00A16E7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Թոշակառուներ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(63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և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տարիքի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անձիք</w:t>
            </w:r>
            <w:r w:rsidRPr="00A16E7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ACB9" w14:textId="77777777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208,184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EDA2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0AB5" w14:textId="1267FD6F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BE10" w14:textId="4F5E07EC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>208,184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2C7B" w14:textId="1C250CAB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>208,184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14CB" w14:textId="0FCFECB2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331406">
              <w:t>208,184</w:t>
            </w:r>
          </w:p>
        </w:tc>
      </w:tr>
      <w:tr w:rsidR="00A915EE" w:rsidRPr="00CE4287" w14:paraId="7D618E48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A96" w14:textId="0FC5A029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BBB" w14:textId="3B23E53B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Ուսանողներ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B10D" w14:textId="2FDC35A1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70,327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440B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51CF" w14:textId="36B82A4D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36C2" w14:textId="523BAA4E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9208" w14:textId="56016679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29C7" w14:textId="3B34C4D4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70,327 </w:t>
            </w:r>
          </w:p>
        </w:tc>
      </w:tr>
      <w:tr w:rsidR="00A915EE" w:rsidRPr="00CE4287" w14:paraId="0FE39E7E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DC7" w14:textId="2B9E07E2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5BF1" w14:textId="75BD7ABE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Գործազուրկներ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E2B9" w14:textId="69016321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62,119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B98F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8170" w14:textId="726FD7A6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5B0A" w14:textId="47B0E4F4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4EB2" w14:textId="684C42F9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E81F" w14:textId="61183BE3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62,119 </w:t>
            </w:r>
          </w:p>
        </w:tc>
      </w:tr>
      <w:tr w:rsidR="00A915EE" w:rsidRPr="00CE4287" w14:paraId="68F0B58E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F91" w14:textId="68A12B69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837" w14:textId="7C54FD6B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Աշխատանք փնտրողներ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E18D" w14:textId="54663D23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28,974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A135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56EE" w14:textId="79BE582A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B8DB" w14:textId="16494842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A5F0" w14:textId="1465CF5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D61C" w14:textId="65EC33C5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28,974 </w:t>
            </w:r>
          </w:p>
        </w:tc>
      </w:tr>
      <w:tr w:rsidR="00A915EE" w:rsidRPr="00CE4287" w14:paraId="34E64981" w14:textId="77777777" w:rsidTr="00A915EE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E2" w14:textId="0A0B51D6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A11" w14:textId="61AFA00E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Երեխաներ (0-18 տարեկան անձիք)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7414" w14:textId="77777777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562,399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FE4E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C46A" w14:textId="3D1FA2A1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>562,399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D453" w14:textId="29C41B52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>562,399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4860" w14:textId="63D47085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>562,399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44A5" w14:textId="1CF09F27" w:rsidR="00A915EE" w:rsidRPr="00CE4287" w:rsidRDefault="00A915EE" w:rsidP="00A915E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>562,399</w:t>
            </w:r>
          </w:p>
        </w:tc>
      </w:tr>
      <w:tr w:rsidR="00A915EE" w:rsidRPr="00CE4287" w14:paraId="52700603" w14:textId="77777777" w:rsidTr="00A915EE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84A" w14:textId="6F4F276D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25C" w14:textId="66661F0C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Գյուղացիական տնտեսություններում զբաղվածներ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464" w14:textId="5C300C0B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     212,800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172C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C5EE" w14:textId="561660A0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183A" w14:textId="3385C293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179B" w14:textId="1797DD7D" w:rsidR="00A915EE" w:rsidRPr="000B6D11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331406">
              <w:t xml:space="preserve"> 212,800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4111" w14:textId="3818CEF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212,800 </w:t>
            </w:r>
          </w:p>
        </w:tc>
      </w:tr>
      <w:tr w:rsidR="00A915EE" w:rsidRPr="00CE4287" w14:paraId="1FEFF1DB" w14:textId="77777777" w:rsidTr="00A915EE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59D" w14:textId="3B42C2BD" w:rsidR="00A915EE" w:rsidRPr="00526C71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CF4" w14:textId="0CC50588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>Բնակչության այլ խմբեր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6AA4" w14:textId="5CE18EC5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  <w:r w:rsidRPr="00CE4287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  <w:t xml:space="preserve">                 493,512 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F2CA" w14:textId="77777777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07B9" w14:textId="2AC8A94E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23F7" w14:textId="6F13EB6D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99D1" w14:textId="6A3BA97C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ADA9" w14:textId="2D9B6558" w:rsidR="00A915EE" w:rsidRPr="00CE4287" w:rsidRDefault="00A915EE" w:rsidP="00A915E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331406">
              <w:t xml:space="preserve"> 400,000 </w:t>
            </w:r>
          </w:p>
        </w:tc>
      </w:tr>
    </w:tbl>
    <w:p w14:paraId="468A7633" w14:textId="31739389" w:rsidR="00CE4287" w:rsidRPr="00CE4287" w:rsidRDefault="00CE4287" w:rsidP="00CE4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0EFAEB1E" w14:textId="2763A09D" w:rsidR="006D2A80" w:rsidRPr="00887050" w:rsidRDefault="00A22DC6" w:rsidP="00887050">
      <w:pPr>
        <w:pStyle w:val="Heading1"/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15" w:name="_Toc122522082"/>
      <w:r w:rsidRPr="00887050">
        <w:rPr>
          <w:rFonts w:ascii="GHEA Grapalat" w:hAnsi="GHEA Grapalat"/>
          <w:sz w:val="24"/>
          <w:szCs w:val="24"/>
        </w:rPr>
        <w:t>4</w:t>
      </w:r>
      <w:r w:rsidR="001E7102" w:rsidRPr="00887050">
        <w:rPr>
          <w:rFonts w:ascii="GHEA Grapalat" w:hAnsi="GHEA Grapalat"/>
          <w:sz w:val="24"/>
          <w:szCs w:val="24"/>
        </w:rPr>
        <w:t xml:space="preserve">.2 </w:t>
      </w:r>
      <w:r w:rsidR="00B377A5" w:rsidRPr="00887050">
        <w:rPr>
          <w:rFonts w:ascii="GHEA Grapalat" w:hAnsi="GHEA Grapalat"/>
          <w:sz w:val="24"/>
          <w:szCs w:val="24"/>
          <w:lang w:val="hy-AM"/>
        </w:rPr>
        <w:t>Ծ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>առայություններ</w:t>
      </w:r>
      <w:bookmarkEnd w:id="15"/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F91A54" w14:textId="3C26AB4F" w:rsidR="00A22DC6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 ներդրման առաջին՝ նախապատրաստման փուլում կձևավորվեն հիմնական ծառայությունների և նվազագույն ծառայությունների </w:t>
      </w:r>
      <w:r w:rsidR="006D2A80" w:rsidRPr="0082534D">
        <w:rPr>
          <w:rFonts w:ascii="GHEA Grapalat" w:hAnsi="GHEA Grapalat"/>
          <w:sz w:val="24"/>
          <w:szCs w:val="24"/>
          <w:lang w:val="hy-AM"/>
        </w:rPr>
        <w:t>փաթեթները</w:t>
      </w:r>
      <w:r w:rsidR="00D022DD" w:rsidRPr="0082534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2DD" w:rsidRPr="00A16E77">
        <w:rPr>
          <w:rFonts w:ascii="GHEA Grapalat" w:hAnsi="GHEA Grapalat"/>
          <w:sz w:val="24"/>
          <w:szCs w:val="24"/>
          <w:lang w:val="hy-AM"/>
        </w:rPr>
        <w:t>(</w:t>
      </w:r>
      <w:r w:rsidR="00D022DD" w:rsidRPr="0082534D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82534D" w:rsidRPr="00A16E77">
        <w:rPr>
          <w:rFonts w:ascii="GHEA Grapalat" w:hAnsi="GHEA Grapalat"/>
          <w:sz w:val="24"/>
          <w:szCs w:val="24"/>
          <w:lang w:val="hy-AM"/>
        </w:rPr>
        <w:t>2</w:t>
      </w:r>
      <w:r w:rsidR="00D022DD" w:rsidRPr="00A16E77">
        <w:rPr>
          <w:rFonts w:ascii="GHEA Grapalat" w:hAnsi="GHEA Grapalat"/>
          <w:sz w:val="24"/>
          <w:szCs w:val="24"/>
          <w:lang w:val="hy-AM"/>
        </w:rPr>
        <w:t>)</w:t>
      </w:r>
      <w:r w:rsidR="006D2A80" w:rsidRPr="0082534D">
        <w:rPr>
          <w:rFonts w:ascii="GHEA Grapalat" w:hAnsi="GHEA Grapalat"/>
          <w:sz w:val="24"/>
          <w:szCs w:val="24"/>
          <w:lang w:val="hy-AM"/>
        </w:rPr>
        <w:t>։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6AB" w:rsidRPr="00887050">
        <w:rPr>
          <w:rFonts w:ascii="GHEA Grapalat" w:hAnsi="GHEA Grapalat"/>
          <w:sz w:val="24"/>
          <w:szCs w:val="24"/>
          <w:lang w:val="hy-AM"/>
        </w:rPr>
        <w:t>Հ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իմնական ծառայությունների փաթեթը հասանելի կլինի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t xml:space="preserve">ի փորձարկման </w:t>
      </w:r>
      <w:r w:rsidR="006D2A80" w:rsidRPr="00887050">
        <w:rPr>
          <w:rFonts w:ascii="GHEA Grapalat" w:hAnsi="GHEA Grapalat"/>
          <w:sz w:val="24"/>
          <w:szCs w:val="24"/>
          <w:lang w:val="hy-AM"/>
        </w:rPr>
        <w:lastRenderedPageBreak/>
        <w:t>փուլի ընթացքում պետության կողմից սահմանված բնակչության</w:t>
      </w:r>
      <w:r w:rsidR="003516AB" w:rsidRPr="00887050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DE1C96">
        <w:rPr>
          <w:rFonts w:ascii="GHEA Grapalat" w:hAnsi="GHEA Grapalat"/>
          <w:sz w:val="24"/>
          <w:szCs w:val="24"/>
          <w:lang w:val="hy-AM"/>
        </w:rPr>
        <w:t>ի</w:t>
      </w:r>
      <w:r w:rsidR="003516AB" w:rsidRPr="00887050">
        <w:rPr>
          <w:rFonts w:ascii="GHEA Grapalat" w:hAnsi="GHEA Grapalat"/>
          <w:sz w:val="24"/>
          <w:szCs w:val="24"/>
          <w:lang w:val="hy-AM"/>
        </w:rPr>
        <w:t xml:space="preserve"> փորձարկման փուլում միացած շահառուների համար։ 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Ն</w:t>
      </w:r>
      <w:r w:rsidR="003516AB" w:rsidRPr="00887050">
        <w:rPr>
          <w:rFonts w:ascii="GHEA Grapalat" w:hAnsi="GHEA Grapalat"/>
          <w:sz w:val="24"/>
          <w:szCs w:val="24"/>
          <w:lang w:val="hy-AM"/>
        </w:rPr>
        <w:t xml:space="preserve">վազագույն ծառայությունների փաթեթը հասանելի կլինի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3516AB" w:rsidRPr="00887050">
        <w:rPr>
          <w:rFonts w:ascii="GHEA Grapalat" w:hAnsi="GHEA Grapalat"/>
          <w:sz w:val="24"/>
          <w:szCs w:val="24"/>
          <w:lang w:val="hy-AM"/>
        </w:rPr>
        <w:t>ում չընդգրկված քաղաքացիների համար։</w:t>
      </w:r>
    </w:p>
    <w:p w14:paraId="1BCD0154" w14:textId="5E53FB8A" w:rsidR="00600F81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ԱՀԱ-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ի ներդրման վերջնարդյունքում բոլոր</w:t>
      </w:r>
      <w:r w:rsidR="000B6D11" w:rsidRPr="00A16E7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D11">
        <w:rPr>
          <w:rFonts w:ascii="GHEA Grapalat" w:hAnsi="GHEA Grapalat"/>
          <w:sz w:val="24"/>
          <w:szCs w:val="24"/>
          <w:lang w:val="hy-AM"/>
        </w:rPr>
        <w:t xml:space="preserve">ապահովագրված 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քաղաքացիները կունենան միևնույն ծածկույթը, անկախ վճարունակությունից և սոցիալական կարգավիճակից, որը կտարբերվի միայն տարիք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 xml:space="preserve"> և սեռ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պայմանավորված հատուցումների 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առանձնահատկություններ</w:t>
      </w:r>
      <w:r w:rsidR="00194D03">
        <w:rPr>
          <w:rFonts w:ascii="GHEA Grapalat" w:hAnsi="GHEA Grapalat"/>
          <w:sz w:val="24"/>
          <w:szCs w:val="24"/>
          <w:lang w:val="hy-AM"/>
        </w:rPr>
        <w:t>ով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49DAE78B" w14:textId="50B942AD" w:rsidR="00600F81" w:rsidRPr="00887050" w:rsidRDefault="00600F8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>Կամավոր բժշկական ապահովագրությունը կ</w:t>
      </w:r>
      <w:r w:rsidR="007525EF">
        <w:rPr>
          <w:rFonts w:ascii="GHEA Grapalat" w:hAnsi="GHEA Grapalat"/>
          <w:sz w:val="24"/>
          <w:szCs w:val="24"/>
          <w:lang w:val="hy-AM"/>
        </w:rPr>
        <w:t>գործի ի լրումն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ապահովագրված և չապահովագրված անձանց հիմնական և նվազագույն ծառայությունների փաթեթներին և կ</w:t>
      </w:r>
      <w:r w:rsidR="007525EF">
        <w:rPr>
          <w:rFonts w:ascii="GHEA Grapalat" w:hAnsi="GHEA Grapalat"/>
          <w:sz w:val="24"/>
          <w:szCs w:val="24"/>
          <w:lang w:val="hy-AM"/>
        </w:rPr>
        <w:t>ներառի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դրանց</w:t>
      </w:r>
      <w:r w:rsidR="007525EF">
        <w:rPr>
          <w:rFonts w:ascii="GHEA Grapalat" w:hAnsi="GHEA Grapalat"/>
          <w:sz w:val="24"/>
          <w:szCs w:val="24"/>
          <w:lang w:val="hy-AM"/>
        </w:rPr>
        <w:t>ում չընդգրկված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ծառայությունները:</w:t>
      </w:r>
    </w:p>
    <w:p w14:paraId="50CC7D5F" w14:textId="77777777" w:rsidR="00D022DD" w:rsidRPr="00887050" w:rsidRDefault="00D022DD" w:rsidP="00887050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5E7C557" w14:textId="07179439" w:rsidR="00467419" w:rsidRPr="00887050" w:rsidRDefault="00A22DC6" w:rsidP="00887050">
      <w:pPr>
        <w:pStyle w:val="Heading1"/>
        <w:spacing w:line="276" w:lineRule="auto"/>
        <w:rPr>
          <w:rFonts w:ascii="GHEA Grapalat" w:hAnsi="GHEA Grapalat"/>
          <w:sz w:val="24"/>
          <w:szCs w:val="24"/>
        </w:rPr>
      </w:pPr>
      <w:bookmarkStart w:id="16" w:name="_Toc122522083"/>
      <w:r w:rsidRPr="00887050">
        <w:rPr>
          <w:rStyle w:val="Heading1Char"/>
          <w:rFonts w:ascii="GHEA Grapalat" w:hAnsi="GHEA Grapalat"/>
          <w:sz w:val="24"/>
          <w:szCs w:val="24"/>
        </w:rPr>
        <w:t>4</w:t>
      </w:r>
      <w:r w:rsidR="001E7102" w:rsidRPr="00887050">
        <w:rPr>
          <w:rStyle w:val="Heading1Char"/>
          <w:rFonts w:ascii="GHEA Grapalat" w:hAnsi="GHEA Grapalat"/>
          <w:sz w:val="24"/>
          <w:szCs w:val="24"/>
        </w:rPr>
        <w:t>.3</w:t>
      </w:r>
      <w:r w:rsidR="00ED3A52" w:rsidRPr="00887050">
        <w:rPr>
          <w:rStyle w:val="Heading1Char"/>
          <w:rFonts w:ascii="GHEA Grapalat" w:hAnsi="GHEA Grapalat"/>
          <w:sz w:val="24"/>
          <w:szCs w:val="24"/>
        </w:rPr>
        <w:t>.</w:t>
      </w:r>
      <w:r w:rsidR="001E7102" w:rsidRPr="00887050">
        <w:rPr>
          <w:rFonts w:ascii="GHEA Grapalat" w:hAnsi="GHEA Grapalat"/>
          <w:sz w:val="24"/>
          <w:szCs w:val="24"/>
        </w:rPr>
        <w:t xml:space="preserve"> </w:t>
      </w:r>
      <w:r w:rsidR="00467419" w:rsidRPr="00887050">
        <w:rPr>
          <w:rStyle w:val="Heading1Char"/>
          <w:rFonts w:ascii="GHEA Grapalat" w:hAnsi="GHEA Grapalat"/>
          <w:sz w:val="24"/>
          <w:szCs w:val="24"/>
        </w:rPr>
        <w:t>Ծ</w:t>
      </w:r>
      <w:r w:rsidR="00FC047C" w:rsidRPr="00887050">
        <w:rPr>
          <w:rStyle w:val="Heading1Char"/>
          <w:rFonts w:ascii="GHEA Grapalat" w:hAnsi="GHEA Grapalat"/>
          <w:sz w:val="24"/>
          <w:szCs w:val="24"/>
        </w:rPr>
        <w:t>ախսեր</w:t>
      </w:r>
      <w:bookmarkEnd w:id="16"/>
    </w:p>
    <w:p w14:paraId="2A42428B" w14:textId="63BC7296" w:rsidR="00530FC2" w:rsidRPr="00887050" w:rsidRDefault="00FC047C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>Ծածկույթի ծախսեր</w:t>
      </w:r>
      <w:r w:rsidR="007525EF">
        <w:rPr>
          <w:rFonts w:ascii="GHEA Grapalat" w:hAnsi="GHEA Grapalat"/>
          <w:sz w:val="24"/>
          <w:szCs w:val="24"/>
          <w:lang w:val="hy-AM"/>
        </w:rPr>
        <w:t>ը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կ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ներառեն հիմնական </w:t>
      </w:r>
      <w:r w:rsidR="002E2E46" w:rsidRPr="00887050">
        <w:rPr>
          <w:rFonts w:ascii="GHEA Grapalat" w:hAnsi="GHEA Grapalat"/>
          <w:sz w:val="24"/>
          <w:szCs w:val="24"/>
          <w:lang w:val="hy-AM"/>
        </w:rPr>
        <w:t>և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նվազագույն ծառայությունների փաթեթի հատուցումների</w:t>
      </w:r>
      <w:r w:rsidR="002E2E46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>ծավալները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 ռիսկային հավելումները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։ 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E85">
        <w:rPr>
          <w:rFonts w:ascii="GHEA Grapalat" w:hAnsi="GHEA Grapalat"/>
          <w:sz w:val="24"/>
          <w:szCs w:val="24"/>
          <w:lang w:val="hy-AM"/>
        </w:rPr>
        <w:t>ԱՀԱ-ի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 կառավարման ծախսերը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կհաշվարկվեն առանձին՝ հաշվի առնելով </w:t>
      </w:r>
      <w:r w:rsidR="00B60E85">
        <w:rPr>
          <w:rFonts w:ascii="GHEA Grapalat" w:hAnsi="GHEA Grapalat"/>
          <w:sz w:val="24"/>
          <w:szCs w:val="24"/>
          <w:lang w:val="hy-AM"/>
        </w:rPr>
        <w:t>ԱՀԱ-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ի կառավարման համար անհրաժեշտ գործառույթների իրականացումը </w:t>
      </w:r>
      <w:r w:rsidR="007525EF">
        <w:rPr>
          <w:rFonts w:ascii="GHEA Grapalat" w:hAnsi="GHEA Grapalat"/>
          <w:sz w:val="24"/>
          <w:szCs w:val="24"/>
          <w:lang w:val="hy-AM"/>
        </w:rPr>
        <w:t>արհեստավարժ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մասնագետների</w:t>
      </w:r>
      <w:r w:rsidR="00D022DD" w:rsidRPr="00887050">
        <w:rPr>
          <w:rFonts w:ascii="GHEA Grapalat" w:hAnsi="GHEA Grapalat"/>
          <w:sz w:val="24"/>
          <w:szCs w:val="24"/>
          <w:lang w:val="hy-AM"/>
        </w:rPr>
        <w:t>, արդիական տեխնիկական և տեղեկատվական տեխնոլոգիաների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միջոցով </w:t>
      </w:r>
      <w:r w:rsidR="00B60E85">
        <w:rPr>
          <w:rFonts w:ascii="GHEA Grapalat" w:hAnsi="GHEA Grapalat"/>
          <w:sz w:val="24"/>
          <w:szCs w:val="24"/>
          <w:lang w:val="hy-AM"/>
        </w:rPr>
        <w:t>ապահովելու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պարտադիր պայմանները</w:t>
      </w:r>
      <w:r w:rsidR="00F06DB1">
        <w:rPr>
          <w:rFonts w:ascii="GHEA Grapalat" w:hAnsi="GHEA Grapalat"/>
          <w:sz w:val="24"/>
          <w:szCs w:val="24"/>
          <w:lang w:val="hy-AM"/>
        </w:rPr>
        <w:t>՝</w:t>
      </w:r>
      <w:r w:rsidR="00F06DB1" w:rsidRPr="00A16E7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7" w:name="_Hlk122083273"/>
      <w:r w:rsidR="00F06DB1">
        <w:rPr>
          <w:rFonts w:ascii="GHEA Grapalat" w:hAnsi="GHEA Grapalat"/>
          <w:sz w:val="24"/>
          <w:szCs w:val="24"/>
          <w:lang w:val="hy-AM"/>
        </w:rPr>
        <w:t xml:space="preserve">դրա համար նախատեսելով ծածկույթի ընդհանուր ծախսերից ոչ ավել քան </w:t>
      </w:r>
      <w:r w:rsidR="00F06DB1" w:rsidRPr="00A16E77">
        <w:rPr>
          <w:rFonts w:ascii="GHEA Grapalat" w:hAnsi="GHEA Grapalat"/>
          <w:sz w:val="24"/>
          <w:szCs w:val="24"/>
          <w:lang w:val="hy-AM"/>
        </w:rPr>
        <w:t>2%</w:t>
      </w:r>
      <w:r w:rsidR="00F06DB1">
        <w:rPr>
          <w:rFonts w:ascii="GHEA Grapalat" w:hAnsi="GHEA Grapalat"/>
          <w:sz w:val="24"/>
          <w:szCs w:val="24"/>
          <w:lang w:val="hy-AM"/>
        </w:rPr>
        <w:t xml:space="preserve">-ի չափով </w:t>
      </w:r>
      <w:r w:rsidR="00D44C12">
        <w:rPr>
          <w:rFonts w:ascii="GHEA Grapalat" w:hAnsi="GHEA Grapalat"/>
          <w:sz w:val="24"/>
          <w:szCs w:val="24"/>
          <w:lang w:val="hy-AM"/>
        </w:rPr>
        <w:t>ծախսեր</w:t>
      </w:r>
      <w:r w:rsidR="00F06DB1">
        <w:rPr>
          <w:rFonts w:ascii="GHEA Grapalat" w:hAnsi="GHEA Grapalat"/>
          <w:sz w:val="24"/>
          <w:szCs w:val="24"/>
          <w:lang w:val="hy-AM"/>
        </w:rPr>
        <w:t>։</w:t>
      </w:r>
      <w:bookmarkEnd w:id="17"/>
    </w:p>
    <w:p w14:paraId="08C184F6" w14:textId="740AB236" w:rsidR="00D022DD" w:rsidRPr="00887050" w:rsidRDefault="00D022D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 xml:space="preserve">Ծածկույթի ապահովման համար անհրաժեշտ ծախսերի </w:t>
      </w:r>
      <w:r w:rsidRPr="00A16E77">
        <w:rPr>
          <w:rFonts w:ascii="GHEA Grapalat" w:hAnsi="GHEA Grapalat"/>
          <w:sz w:val="24"/>
          <w:szCs w:val="24"/>
          <w:lang w:val="hy-AM"/>
        </w:rPr>
        <w:t>(</w:t>
      </w:r>
      <w:r w:rsidRPr="00887050">
        <w:rPr>
          <w:rFonts w:ascii="GHEA Grapalat" w:hAnsi="GHEA Grapalat"/>
          <w:sz w:val="24"/>
          <w:szCs w:val="24"/>
          <w:lang w:val="hy-AM"/>
        </w:rPr>
        <w:t>այնուհետև՝ Ծածկույթի ծախսեր</w:t>
      </w:r>
      <w:r w:rsidRPr="00A16E77">
        <w:rPr>
          <w:rFonts w:ascii="GHEA Grapalat" w:hAnsi="GHEA Grapalat"/>
          <w:sz w:val="24"/>
          <w:szCs w:val="24"/>
          <w:lang w:val="hy-AM"/>
        </w:rPr>
        <w:t>)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հաշվարկը 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կիրականացվի </w:t>
      </w:r>
      <w:r w:rsidR="00884490">
        <w:rPr>
          <w:rFonts w:ascii="GHEA Grapalat" w:hAnsi="GHEA Grapalat"/>
          <w:sz w:val="24"/>
          <w:szCs w:val="24"/>
          <w:lang w:val="hy-AM"/>
        </w:rPr>
        <w:t xml:space="preserve">ԱՆ կողմից </w:t>
      </w:r>
      <w:r w:rsidR="00B60E85">
        <w:rPr>
          <w:rFonts w:ascii="GHEA Grapalat" w:hAnsi="GHEA Grapalat"/>
          <w:sz w:val="24"/>
          <w:szCs w:val="24"/>
          <w:lang w:val="hy-AM"/>
        </w:rPr>
        <w:t>ԱՀԱ-</w:t>
      </w:r>
      <w:r w:rsidRPr="00887050">
        <w:rPr>
          <w:rFonts w:ascii="GHEA Grapalat" w:hAnsi="GHEA Grapalat"/>
          <w:sz w:val="24"/>
          <w:szCs w:val="24"/>
          <w:lang w:val="hy-AM"/>
        </w:rPr>
        <w:t>ի ներդրման նախապատրաստական փուլում</w:t>
      </w:r>
      <w:r w:rsidR="00FE28D2" w:rsidRPr="00887050">
        <w:rPr>
          <w:rFonts w:ascii="GHEA Grapalat" w:hAnsi="GHEA Grapalat"/>
          <w:sz w:val="24"/>
          <w:szCs w:val="24"/>
          <w:lang w:val="hy-AM"/>
        </w:rPr>
        <w:t>՝</w:t>
      </w:r>
      <w:r w:rsidRPr="00887050">
        <w:rPr>
          <w:rFonts w:ascii="GHEA Grapalat" w:hAnsi="GHEA Grapalat"/>
          <w:sz w:val="24"/>
          <w:szCs w:val="24"/>
          <w:lang w:val="hy-AM"/>
        </w:rPr>
        <w:t xml:space="preserve"> ՖՆ-ի հետ համաձայնեցված մեթոդաբանության հիման վրա։</w:t>
      </w:r>
    </w:p>
    <w:p w14:paraId="6C65944A" w14:textId="6120F9C6" w:rsidR="002E2E46" w:rsidRPr="00A16E77" w:rsidRDefault="008E03B6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Յուրաքանչյուր տարվա ծ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>ածկույթի ծախսերի հաշվարկ</w:t>
      </w:r>
      <w:r w:rsidR="00194D03">
        <w:rPr>
          <w:rFonts w:ascii="GHEA Grapalat" w:hAnsi="GHEA Grapalat"/>
          <w:sz w:val="24"/>
          <w:szCs w:val="24"/>
          <w:lang w:val="hy-AM"/>
        </w:rPr>
        <w:t>ը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E85">
        <w:rPr>
          <w:rFonts w:ascii="GHEA Grapalat" w:hAnsi="GHEA Grapalat"/>
          <w:sz w:val="24"/>
          <w:szCs w:val="24"/>
          <w:lang w:val="hy-AM"/>
        </w:rPr>
        <w:t>կ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>իրականացվ</w:t>
      </w:r>
      <w:r w:rsidR="00B60E85">
        <w:rPr>
          <w:rFonts w:ascii="GHEA Grapalat" w:hAnsi="GHEA Grapalat"/>
          <w:sz w:val="24"/>
          <w:szCs w:val="24"/>
          <w:lang w:val="hy-AM"/>
        </w:rPr>
        <w:t>ի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 հիմք ընդունելով հիմնական և նվազագույն ծառայությունների փաթեթի հատուցումների նախորդող </w:t>
      </w:r>
      <w:r w:rsidR="002E2E46" w:rsidRPr="00887050">
        <w:rPr>
          <w:rFonts w:ascii="GHEA Grapalat" w:hAnsi="GHEA Grapalat"/>
          <w:sz w:val="24"/>
          <w:szCs w:val="24"/>
          <w:lang w:val="hy-AM"/>
        </w:rPr>
        <w:t>ժամանակաշրջանի ծավալները</w:t>
      </w:r>
      <w:r w:rsidR="00FC047C" w:rsidRPr="00887050">
        <w:rPr>
          <w:rFonts w:ascii="GHEA Grapalat" w:hAnsi="GHEA Grapalat"/>
          <w:sz w:val="24"/>
          <w:szCs w:val="24"/>
          <w:lang w:val="hy-AM"/>
        </w:rPr>
        <w:t xml:space="preserve">, հիմնական և նվազագույն փաթեթների </w:t>
      </w:r>
      <w:r w:rsidR="002E2E46" w:rsidRPr="00887050">
        <w:rPr>
          <w:rFonts w:ascii="GHEA Grapalat" w:hAnsi="GHEA Grapalat"/>
          <w:sz w:val="24"/>
          <w:szCs w:val="24"/>
          <w:lang w:val="hy-AM"/>
        </w:rPr>
        <w:t xml:space="preserve">շրջանակներում հատուցվող ծառայությունների գների կանխատեսվող փոփոխությունները և դրանց հատուցման պայմանների կանխատեսվող փոփոխությունները, շահառուների </w:t>
      </w:r>
      <w:r w:rsidR="00E86D7C">
        <w:rPr>
          <w:rFonts w:ascii="GHEA Grapalat" w:hAnsi="GHEA Grapalat"/>
          <w:sz w:val="24"/>
          <w:szCs w:val="24"/>
          <w:lang w:val="hy-AM"/>
        </w:rPr>
        <w:t>սեռա</w:t>
      </w:r>
      <w:r w:rsidR="00530FC2" w:rsidRPr="00887050">
        <w:rPr>
          <w:rFonts w:ascii="GHEA Grapalat" w:hAnsi="GHEA Grapalat"/>
          <w:sz w:val="24"/>
          <w:szCs w:val="24"/>
          <w:lang w:val="hy-AM"/>
        </w:rPr>
        <w:t xml:space="preserve">տարիքային կառուցվածքի և </w:t>
      </w:r>
      <w:r w:rsidR="002E2E46" w:rsidRPr="00887050">
        <w:rPr>
          <w:rFonts w:ascii="GHEA Grapalat" w:hAnsi="GHEA Grapalat"/>
          <w:sz w:val="24"/>
          <w:szCs w:val="24"/>
          <w:lang w:val="hy-AM"/>
        </w:rPr>
        <w:t>դիմելիության կանխատեսվող փոփոխությունները, առողջապահական քաղաքականության փոփոխությունների արդյունքում այն գործոնները, որոնք կարող են ազդել հիմնական և նվազագույն ծառայությունների փաթեթների կառուցվածքի, ծառայությունների գների և դրանց հատուցման պայմանների, ինչպես նաև շահառուների դիմելիության կանխատեսվող ցուցանիշների վրա։</w:t>
      </w:r>
    </w:p>
    <w:p w14:paraId="58FAA39B" w14:textId="49EE1F5D" w:rsidR="00DF4F28" w:rsidRPr="00887050" w:rsidRDefault="00B60E85" w:rsidP="00887050">
      <w:pPr>
        <w:pStyle w:val="Heading1"/>
        <w:numPr>
          <w:ilvl w:val="0"/>
          <w:numId w:val="17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18" w:name="_Toc122522084"/>
      <w:r>
        <w:rPr>
          <w:rFonts w:ascii="GHEA Grapalat" w:hAnsi="GHEA Grapalat"/>
          <w:sz w:val="24"/>
          <w:szCs w:val="24"/>
          <w:lang w:val="hy-AM"/>
        </w:rPr>
        <w:lastRenderedPageBreak/>
        <w:t>ԱՀԱ-</w:t>
      </w:r>
      <w:r w:rsidR="001E7102" w:rsidRPr="00887050">
        <w:rPr>
          <w:rFonts w:ascii="GHEA Grapalat" w:hAnsi="GHEA Grapalat"/>
          <w:sz w:val="24"/>
          <w:szCs w:val="24"/>
          <w:lang w:val="hy-AM"/>
        </w:rPr>
        <w:t>ի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A90">
        <w:rPr>
          <w:rFonts w:ascii="GHEA Grapalat" w:hAnsi="GHEA Grapalat"/>
          <w:sz w:val="24"/>
          <w:szCs w:val="24"/>
          <w:lang w:val="hy-AM"/>
        </w:rPr>
        <w:t>ֆինանսական միջոցները</w:t>
      </w:r>
      <w:bookmarkEnd w:id="18"/>
    </w:p>
    <w:p w14:paraId="3449099F" w14:textId="51DB53ED" w:rsidR="00DF4F28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ԱՀԱ-</w:t>
      </w:r>
      <w:r w:rsidR="001E7102" w:rsidRPr="00887050">
        <w:rPr>
          <w:rFonts w:ascii="GHEA Grapalat" w:hAnsi="GHEA Grapalat"/>
          <w:sz w:val="24"/>
          <w:szCs w:val="24"/>
          <w:lang w:val="hy-AM"/>
        </w:rPr>
        <w:t>ի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համար անհրաժեշտ </w:t>
      </w:r>
      <w:r w:rsidR="00EE1A90">
        <w:rPr>
          <w:rFonts w:ascii="GHEA Grapalat" w:hAnsi="GHEA Grapalat"/>
          <w:sz w:val="24"/>
          <w:szCs w:val="24"/>
          <w:lang w:val="hy-AM"/>
        </w:rPr>
        <w:t>ֆինանսական միջոցները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 կգոյանան երկու </w:t>
      </w:r>
      <w:r w:rsidR="008A2272" w:rsidRPr="00887050">
        <w:rPr>
          <w:rFonts w:ascii="GHEA Grapalat" w:hAnsi="GHEA Grapalat"/>
          <w:sz w:val="24"/>
          <w:szCs w:val="24"/>
          <w:lang w:val="hy-AM"/>
        </w:rPr>
        <w:t xml:space="preserve">հիմնական 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աղբյուրներից՝ պետական բյուջեից և </w:t>
      </w:r>
      <w:r>
        <w:rPr>
          <w:rFonts w:ascii="GHEA Grapalat" w:hAnsi="GHEA Grapalat"/>
          <w:sz w:val="24"/>
          <w:szCs w:val="24"/>
          <w:lang w:val="hy-AM"/>
        </w:rPr>
        <w:t>ԱՀԱ-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 xml:space="preserve">ին միանալու </w:t>
      </w:r>
      <w:r w:rsidR="00A16E77">
        <w:rPr>
          <w:rFonts w:ascii="GHEA Grapalat" w:hAnsi="GHEA Grapalat"/>
          <w:sz w:val="24"/>
          <w:szCs w:val="24"/>
          <w:lang w:val="hy-AM"/>
        </w:rPr>
        <w:t xml:space="preserve">ապահովագրական </w:t>
      </w:r>
      <w:r w:rsidR="00DF4F28" w:rsidRPr="00887050">
        <w:rPr>
          <w:rFonts w:ascii="GHEA Grapalat" w:hAnsi="GHEA Grapalat"/>
          <w:sz w:val="24"/>
          <w:szCs w:val="24"/>
          <w:lang w:val="hy-AM"/>
        </w:rPr>
        <w:t>վճարներից։</w:t>
      </w:r>
    </w:p>
    <w:p w14:paraId="37F593A8" w14:textId="6DFF6D3B" w:rsidR="00DF4F28" w:rsidRPr="00887050" w:rsidRDefault="00DF4F28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7050">
        <w:rPr>
          <w:rFonts w:ascii="GHEA Grapalat" w:hAnsi="GHEA Grapalat"/>
          <w:sz w:val="24"/>
          <w:szCs w:val="24"/>
          <w:lang w:val="hy-AM"/>
        </w:rPr>
        <w:t xml:space="preserve">Պետական բյուջեի միջոցները կհատկացվեն ծածկույթի </w:t>
      </w:r>
      <w:r w:rsidR="004432BB" w:rsidRPr="00887050">
        <w:rPr>
          <w:rFonts w:ascii="GHEA Grapalat" w:hAnsi="GHEA Grapalat"/>
          <w:sz w:val="24"/>
          <w:szCs w:val="24"/>
          <w:lang w:val="hy-AM"/>
        </w:rPr>
        <w:t xml:space="preserve">ծախսերի ծածկման համաֆինանսավորման սկզբունքով՝ հաշվի առնելով շահառուների </w:t>
      </w:r>
      <w:r w:rsidR="004373F0" w:rsidRPr="00887050">
        <w:rPr>
          <w:rFonts w:ascii="GHEA Grapalat" w:hAnsi="GHEA Grapalat"/>
          <w:sz w:val="24"/>
          <w:szCs w:val="24"/>
          <w:lang w:val="hy-AM"/>
        </w:rPr>
        <w:t>սոցիալական</w:t>
      </w:r>
      <w:r w:rsidR="004432BB" w:rsidRPr="00887050">
        <w:rPr>
          <w:rFonts w:ascii="GHEA Grapalat" w:hAnsi="GHEA Grapalat"/>
          <w:sz w:val="24"/>
          <w:szCs w:val="24"/>
          <w:lang w:val="hy-AM"/>
        </w:rPr>
        <w:t xml:space="preserve"> և առողջական ռիսկերը։</w:t>
      </w:r>
    </w:p>
    <w:p w14:paraId="501AB93D" w14:textId="044A8992" w:rsidR="008A763A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ԱՀԱ-</w:t>
      </w:r>
      <w:r w:rsidR="008A763A" w:rsidRPr="00887050">
        <w:rPr>
          <w:rFonts w:ascii="GHEA Grapalat" w:hAnsi="GHEA Grapalat"/>
          <w:sz w:val="24"/>
          <w:szCs w:val="24"/>
          <w:lang w:val="hy-AM"/>
        </w:rPr>
        <w:t>ի ներդրման նախապատրաստական փուլում կսահմանվի պետական բյուջեի միջոցներից ծածկույթի ծախսերի համաֆինանսավորման չափն ըստ ներդրման փուլերի, ինչպես նաև այդ գումարների հատկացման պարբերականությունը</w:t>
      </w:r>
      <w:r w:rsidR="006C04E9" w:rsidRPr="008F00C7">
        <w:rPr>
          <w:rFonts w:ascii="GHEA Grapalat" w:hAnsi="GHEA Grapalat"/>
          <w:sz w:val="24"/>
          <w:szCs w:val="24"/>
          <w:lang w:val="hy-AM"/>
        </w:rPr>
        <w:t>`</w:t>
      </w:r>
      <w:r w:rsidR="006C0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A79">
        <w:rPr>
          <w:rFonts w:ascii="GHEA Grapalat" w:hAnsi="GHEA Grapalat"/>
          <w:sz w:val="24"/>
          <w:szCs w:val="24"/>
          <w:lang w:val="hy-AM"/>
        </w:rPr>
        <w:t>հաշվի առնելով ֆիսկալ տարածքը</w:t>
      </w:r>
      <w:r w:rsidR="00B30A79" w:rsidRPr="00887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63A" w:rsidRPr="00887050">
        <w:rPr>
          <w:rFonts w:ascii="GHEA Grapalat" w:hAnsi="GHEA Grapalat"/>
          <w:sz w:val="24"/>
          <w:szCs w:val="24"/>
          <w:lang w:val="hy-AM"/>
        </w:rPr>
        <w:t>։</w:t>
      </w:r>
      <w:r w:rsidR="008F53CB" w:rsidRPr="00887050">
        <w:rPr>
          <w:rFonts w:ascii="GHEA Grapalat" w:hAnsi="GHEA Grapalat"/>
          <w:sz w:val="24"/>
          <w:szCs w:val="24"/>
          <w:lang w:val="hy-AM"/>
        </w:rPr>
        <w:t xml:space="preserve"> Այս փուլում </w:t>
      </w:r>
      <w:r w:rsidR="00211F62">
        <w:rPr>
          <w:rFonts w:ascii="GHEA Grapalat" w:hAnsi="GHEA Grapalat"/>
          <w:sz w:val="24"/>
          <w:szCs w:val="24"/>
          <w:lang w:val="hy-AM"/>
        </w:rPr>
        <w:t>կիրականացվեն</w:t>
      </w:r>
      <w:r w:rsidR="008F53CB" w:rsidRPr="00887050">
        <w:rPr>
          <w:rFonts w:ascii="GHEA Grapalat" w:hAnsi="GHEA Grapalat"/>
          <w:sz w:val="24"/>
          <w:szCs w:val="24"/>
          <w:lang w:val="hy-AM"/>
        </w:rPr>
        <w:t xml:space="preserve"> նաև </w:t>
      </w:r>
      <w:r>
        <w:rPr>
          <w:rFonts w:ascii="GHEA Grapalat" w:hAnsi="GHEA Grapalat"/>
          <w:sz w:val="24"/>
          <w:szCs w:val="24"/>
          <w:lang w:val="hy-AM"/>
        </w:rPr>
        <w:t>ԱՀԱ</w:t>
      </w:r>
      <w:r w:rsidR="00211F62">
        <w:rPr>
          <w:rFonts w:ascii="GHEA Grapalat" w:hAnsi="GHEA Grapalat"/>
          <w:sz w:val="24"/>
          <w:szCs w:val="24"/>
          <w:lang w:val="hy-AM"/>
        </w:rPr>
        <w:t xml:space="preserve"> հիմնադրամի ստեղծման ծախսերը</w:t>
      </w:r>
      <w:r w:rsidR="008F53CB" w:rsidRPr="00887050">
        <w:rPr>
          <w:rFonts w:ascii="GHEA Grapalat" w:hAnsi="GHEA Grapalat"/>
          <w:sz w:val="24"/>
          <w:szCs w:val="24"/>
          <w:lang w:val="hy-AM"/>
        </w:rPr>
        <w:t>։</w:t>
      </w:r>
    </w:p>
    <w:p w14:paraId="49F86A0B" w14:textId="127448B2" w:rsidR="00194D03" w:rsidRPr="00B229EB" w:rsidRDefault="00194D03" w:rsidP="00194D03">
      <w:pPr>
        <w:spacing w:line="276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sz w:val="24"/>
          <w:szCs w:val="24"/>
          <w:lang w:val="hy-AM"/>
        </w:rPr>
        <w:t xml:space="preserve">ԱՀԱ-ի </w:t>
      </w:r>
      <w:r w:rsidR="00B30A79">
        <w:rPr>
          <w:rFonts w:ascii="GHEA Grapalat" w:hAnsi="GHEA Grapalat"/>
          <w:sz w:val="24"/>
          <w:szCs w:val="24"/>
          <w:lang w:val="hy-AM"/>
        </w:rPr>
        <w:t xml:space="preserve">ներդրման համար պահանջվող </w:t>
      </w:r>
      <w:r w:rsidR="00087A64">
        <w:rPr>
          <w:rFonts w:ascii="GHEA Grapalat" w:hAnsi="GHEA Grapalat"/>
          <w:sz w:val="24"/>
          <w:szCs w:val="24"/>
          <w:lang w:val="hy-AM"/>
        </w:rPr>
        <w:t>ֆինանսական 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կանխատեսվող</w:t>
      </w:r>
      <w:r w:rsidR="0093161D" w:rsidRPr="008F0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A79">
        <w:rPr>
          <w:rFonts w:ascii="GHEA Grapalat" w:hAnsi="GHEA Grapalat"/>
          <w:sz w:val="24"/>
          <w:szCs w:val="24"/>
          <w:lang w:val="hy-AM"/>
        </w:rPr>
        <w:t xml:space="preserve">ուղենիշային </w:t>
      </w:r>
      <w:r>
        <w:rPr>
          <w:rFonts w:ascii="GHEA Grapalat" w:hAnsi="GHEA Grapalat"/>
          <w:sz w:val="24"/>
          <w:szCs w:val="24"/>
          <w:lang w:val="hy-AM"/>
        </w:rPr>
        <w:t>չափերն ըստ ներդրման փուլերի</w:t>
      </w:r>
      <w:r w:rsidR="00B229EB">
        <w:rPr>
          <w:rFonts w:ascii="GHEA Grapalat" w:hAnsi="GHEA Grapalat"/>
          <w:sz w:val="24"/>
          <w:szCs w:val="24"/>
          <w:lang w:val="hy-AM"/>
        </w:rPr>
        <w:t>,</w:t>
      </w:r>
      <w:r w:rsidR="00EE1A90">
        <w:rPr>
          <w:rFonts w:ascii="GHEA Grapalat" w:hAnsi="GHEA Grapalat"/>
          <w:sz w:val="24"/>
          <w:szCs w:val="24"/>
          <w:lang w:val="hy-AM"/>
        </w:rPr>
        <w:t xml:space="preserve"> </w:t>
      </w:r>
      <w:r w:rsidR="00B229EB">
        <w:rPr>
          <w:rFonts w:ascii="GHEA Grapalat" w:hAnsi="GHEA Grapalat"/>
          <w:sz w:val="24"/>
          <w:szCs w:val="24"/>
          <w:lang w:val="hy-AM"/>
        </w:rPr>
        <w:t>մլրդ</w:t>
      </w:r>
      <w:r w:rsidR="00B229EB">
        <w:rPr>
          <w:rFonts w:ascii="Cambria Math" w:hAnsi="Cambria Math"/>
          <w:sz w:val="24"/>
          <w:szCs w:val="24"/>
          <w:lang w:val="hy-AM"/>
        </w:rPr>
        <w:t xml:space="preserve"> դրամ</w:t>
      </w:r>
    </w:p>
    <w:tbl>
      <w:tblPr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480"/>
        <w:gridCol w:w="1480"/>
        <w:gridCol w:w="1480"/>
        <w:gridCol w:w="1480"/>
        <w:gridCol w:w="2300"/>
      </w:tblGrid>
      <w:tr w:rsidR="00B229EB" w:rsidRPr="00C37EE6" w14:paraId="704AC995" w14:textId="77777777" w:rsidTr="000D3DF8">
        <w:trPr>
          <w:trHeight w:val="690"/>
        </w:trPr>
        <w:tc>
          <w:tcPr>
            <w:tcW w:w="2130" w:type="dxa"/>
            <w:shd w:val="clear" w:color="auto" w:fill="auto"/>
            <w:vAlign w:val="center"/>
            <w:hideMark/>
          </w:tcPr>
          <w:p w14:paraId="465ED7F2" w14:textId="4B501D8C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8F3C80" w14:textId="222AB941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Նախապատ</w:t>
            </w:r>
            <w:r w:rsidR="00C37EE6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րաստ</w:t>
            </w:r>
            <w:r w:rsidR="00740865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ական</w:t>
            </w: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փուլ</w:t>
            </w:r>
          </w:p>
        </w:tc>
        <w:tc>
          <w:tcPr>
            <w:tcW w:w="4440" w:type="dxa"/>
            <w:gridSpan w:val="3"/>
            <w:shd w:val="clear" w:color="auto" w:fill="auto"/>
            <w:vAlign w:val="center"/>
            <w:hideMark/>
          </w:tcPr>
          <w:p w14:paraId="7510CF51" w14:textId="77777777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Փորձարկման փուլ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20EE47F2" w14:textId="77777777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Կիրարկում</w:t>
            </w:r>
          </w:p>
        </w:tc>
      </w:tr>
      <w:tr w:rsidR="00A16E77" w:rsidRPr="00C37EE6" w14:paraId="4557C438" w14:textId="77777777" w:rsidTr="000D3DF8">
        <w:trPr>
          <w:trHeight w:val="345"/>
        </w:trPr>
        <w:tc>
          <w:tcPr>
            <w:tcW w:w="2130" w:type="dxa"/>
            <w:shd w:val="clear" w:color="000000" w:fill="D0CECE"/>
            <w:vAlign w:val="center"/>
            <w:hideMark/>
          </w:tcPr>
          <w:p w14:paraId="00243B97" w14:textId="77777777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37E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80" w:type="dxa"/>
            <w:shd w:val="clear" w:color="000000" w:fill="D0CECE"/>
            <w:vAlign w:val="center"/>
            <w:hideMark/>
          </w:tcPr>
          <w:p w14:paraId="090EB70C" w14:textId="79B9059C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2023</w:t>
            </w: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480" w:type="dxa"/>
            <w:shd w:val="clear" w:color="000000" w:fill="D0CECE"/>
            <w:vAlign w:val="center"/>
            <w:hideMark/>
          </w:tcPr>
          <w:p w14:paraId="1490FAC4" w14:textId="4A192270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2024</w:t>
            </w: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480" w:type="dxa"/>
            <w:shd w:val="clear" w:color="000000" w:fill="D0CECE"/>
            <w:vAlign w:val="center"/>
            <w:hideMark/>
          </w:tcPr>
          <w:p w14:paraId="18F0E3EC" w14:textId="414B0AC3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2025</w:t>
            </w: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480" w:type="dxa"/>
            <w:shd w:val="clear" w:color="000000" w:fill="D0CECE"/>
            <w:vAlign w:val="center"/>
            <w:hideMark/>
          </w:tcPr>
          <w:p w14:paraId="6C649E33" w14:textId="76E8C024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2026</w:t>
            </w: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2300" w:type="dxa"/>
            <w:shd w:val="clear" w:color="000000" w:fill="D0CECE"/>
            <w:vAlign w:val="center"/>
            <w:hideMark/>
          </w:tcPr>
          <w:p w14:paraId="6B15FB54" w14:textId="5A201518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2027</w:t>
            </w:r>
            <w:r w:rsidRPr="00C37EE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</w:tc>
      </w:tr>
      <w:tr w:rsidR="00A16E77" w:rsidRPr="00C37EE6" w14:paraId="12026B58" w14:textId="77777777" w:rsidTr="000D3DF8">
        <w:trPr>
          <w:trHeight w:val="345"/>
        </w:trPr>
        <w:tc>
          <w:tcPr>
            <w:tcW w:w="2130" w:type="dxa"/>
            <w:shd w:val="clear" w:color="auto" w:fill="auto"/>
            <w:vAlign w:val="center"/>
            <w:hideMark/>
          </w:tcPr>
          <w:p w14:paraId="530F782D" w14:textId="27C7D84D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Ընդամենը</w:t>
            </w:r>
            <w:r w:rsidR="00250894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50894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որից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823C67" w14:textId="3E31F809" w:rsidR="00B229EB" w:rsidRPr="00C37EE6" w:rsidRDefault="00B229EB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53FE08" w14:textId="7E938FB0" w:rsidR="00B229EB" w:rsidRPr="00C37EE6" w:rsidRDefault="00335E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C863FE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453EBD" w14:textId="7CDCCC56" w:rsidR="00B229EB" w:rsidRPr="00C37EE6" w:rsidRDefault="00DE1C96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="00C863FE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C863FE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84BD96" w14:textId="31223AD0" w:rsidR="00B229EB" w:rsidRPr="00C37EE6" w:rsidRDefault="00D41CE0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7E24C4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3B2EF6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C863FE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456A1708" w14:textId="2D584FBC" w:rsidR="00B229EB" w:rsidRPr="00C37EE6" w:rsidRDefault="00C863FE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370,0</w:t>
            </w:r>
          </w:p>
        </w:tc>
      </w:tr>
      <w:tr w:rsidR="00A16E77" w:rsidRPr="00C37EE6" w14:paraId="237A1E6D" w14:textId="77777777" w:rsidTr="000D3DF8">
        <w:trPr>
          <w:trHeight w:val="345"/>
        </w:trPr>
        <w:tc>
          <w:tcPr>
            <w:tcW w:w="2130" w:type="dxa"/>
            <w:shd w:val="clear" w:color="auto" w:fill="auto"/>
            <w:vAlign w:val="center"/>
          </w:tcPr>
          <w:p w14:paraId="38B9D20A" w14:textId="059B7520" w:rsidR="00250894" w:rsidRPr="00C37EE6" w:rsidRDefault="002508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Պետական բյուջե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մասնակի և ամբողջ ծավալով սուբսիդավորում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  <w:r w:rsidR="00A16E77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BBBAA24" w14:textId="5FF814A7" w:rsidR="00250894" w:rsidRPr="00C37EE6" w:rsidRDefault="00C863FE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97AFF1E" w14:textId="63B1689C" w:rsidR="00250894" w:rsidRPr="00C37EE6" w:rsidRDefault="002508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E9A0C25" w14:textId="46AC834D" w:rsidR="00250894" w:rsidRPr="00C37EE6" w:rsidRDefault="002508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6D0D728" w14:textId="6C3C4121" w:rsidR="00250894" w:rsidRPr="00C37EE6" w:rsidRDefault="002508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DB1324" w14:textId="6C72108C" w:rsidR="00250894" w:rsidRPr="00C37EE6" w:rsidRDefault="0056625F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 xml:space="preserve">Ուղենիշային ՀՆԱ </w:t>
            </w: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  <w:t>4 %</w:t>
            </w:r>
          </w:p>
        </w:tc>
      </w:tr>
      <w:tr w:rsidR="00A16E77" w:rsidRPr="00C37EE6" w14:paraId="412B4320" w14:textId="77777777" w:rsidTr="000D3DF8">
        <w:trPr>
          <w:trHeight w:val="345"/>
        </w:trPr>
        <w:tc>
          <w:tcPr>
            <w:tcW w:w="2130" w:type="dxa"/>
            <w:shd w:val="clear" w:color="auto" w:fill="auto"/>
            <w:vAlign w:val="center"/>
          </w:tcPr>
          <w:p w14:paraId="6C0C1F15" w14:textId="0F45FD6B" w:rsidR="00250894" w:rsidRPr="00C37EE6" w:rsidRDefault="005D1808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Ա</w:t>
            </w:r>
            <w:r w:rsidR="00D41CE0"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պահովագրական վճար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8115E45" w14:textId="77777777" w:rsidR="00250894" w:rsidRPr="00C37EE6" w:rsidRDefault="00250894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D5A3770" w14:textId="79E63431" w:rsidR="00250894" w:rsidRPr="00C37EE6" w:rsidRDefault="00A16E77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 xml:space="preserve">Կախված միացողների թվից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90D8A45" w14:textId="1D9A7647" w:rsidR="00250894" w:rsidRPr="00C37EE6" w:rsidRDefault="00A16E77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Կախված միացողների թվից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77E56F4" w14:textId="5A105DC8" w:rsidR="00250894" w:rsidRPr="00C37EE6" w:rsidRDefault="00A16E77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Կախված միացողների թվից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DA98F8" w14:textId="4DB8114C" w:rsidR="00250894" w:rsidRPr="00C37EE6" w:rsidRDefault="00A16E77" w:rsidP="00B229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</w:pPr>
            <w:r w:rsidRPr="00C37EE6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lang w:val="hy-AM" w:eastAsia="ru-RU"/>
              </w:rPr>
              <w:t>Կախված սոբսիդավորման համամասնությունից</w:t>
            </w:r>
          </w:p>
        </w:tc>
      </w:tr>
    </w:tbl>
    <w:p w14:paraId="30AF0B14" w14:textId="77777777" w:rsidR="00686082" w:rsidRDefault="00686082" w:rsidP="00686082">
      <w:pPr>
        <w:pStyle w:val="ListParagraph"/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864A87" w14:textId="54961AD7" w:rsidR="00686082" w:rsidRDefault="00686082" w:rsidP="0068608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Աղյուսակ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 3</w:t>
      </w:r>
      <w:r>
        <w:rPr>
          <w:rFonts w:ascii="GHEA Grapalat" w:hAnsi="GHEA Grapalat"/>
          <w:sz w:val="24"/>
          <w:szCs w:val="24"/>
          <w:lang w:val="hy-AM"/>
        </w:rPr>
        <w:t xml:space="preserve">-ում ներկայացված գումարները հաշվարկվել են </w:t>
      </w:r>
      <w:r w:rsidRPr="00A16E77">
        <w:rPr>
          <w:rFonts w:ascii="GHEA Grapalat" w:hAnsi="GHEA Grapalat"/>
          <w:sz w:val="24"/>
          <w:szCs w:val="24"/>
          <w:lang w:val="hy-AM"/>
        </w:rPr>
        <w:t>2019</w:t>
      </w:r>
      <w:r>
        <w:rPr>
          <w:rFonts w:ascii="GHEA Grapalat" w:hAnsi="GHEA Grapalat"/>
          <w:sz w:val="24"/>
          <w:szCs w:val="24"/>
          <w:lang w:val="hy-AM"/>
        </w:rPr>
        <w:t>թ-ի տվյալների բազայի հիման վրա կատարված ակտուարական հաշվարկներից ելնելով և կարող են փոփոխվել ըստ ներդրման փուլերի՝ գնաճով, դիմելիությամբ և այլ գործոններով պայմանավորված ռիսկեր</w:t>
      </w:r>
      <w:r w:rsidR="005A16E9">
        <w:rPr>
          <w:rFonts w:ascii="GHEA Grapalat" w:hAnsi="GHEA Grapalat"/>
          <w:sz w:val="24"/>
          <w:szCs w:val="24"/>
          <w:lang w:val="hy-AM"/>
        </w:rPr>
        <w:t>ից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ծածկույթի կառավարման ծախսերի չափից ելնելով։ </w:t>
      </w:r>
      <w:r w:rsidRPr="00A16E77">
        <w:rPr>
          <w:rFonts w:ascii="GHEA Grapalat" w:hAnsi="GHEA Grapalat"/>
          <w:sz w:val="24"/>
          <w:szCs w:val="24"/>
          <w:lang w:val="hy-AM"/>
        </w:rPr>
        <w:t>2023</w:t>
      </w:r>
      <w:r>
        <w:rPr>
          <w:rFonts w:ascii="GHEA Grapalat" w:hAnsi="GHEA Grapalat"/>
          <w:sz w:val="24"/>
          <w:szCs w:val="24"/>
          <w:lang w:val="hy-AM"/>
        </w:rPr>
        <w:t xml:space="preserve">թ-ին նախատեսվող 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1,5 </w:t>
      </w:r>
      <w:r>
        <w:rPr>
          <w:rFonts w:ascii="GHEA Grapalat" w:hAnsi="GHEA Grapalat"/>
          <w:sz w:val="24"/>
          <w:szCs w:val="24"/>
          <w:lang w:val="hy-AM"/>
        </w:rPr>
        <w:t>մլրդ դրամի չափով ծախսը իր մեջ ներառում է ԱՀԱ Հիմնադրամի ստեղծման կապիտալ և գործառութային ծախսերը։</w:t>
      </w:r>
    </w:p>
    <w:p w14:paraId="62E60411" w14:textId="3C70F9C8" w:rsidR="00686082" w:rsidRDefault="00686082" w:rsidP="0068608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5B38">
        <w:rPr>
          <w:rFonts w:ascii="GHEA Grapalat" w:hAnsi="GHEA Grapalat"/>
          <w:sz w:val="24"/>
          <w:szCs w:val="24"/>
          <w:lang w:val="hy-AM"/>
        </w:rPr>
        <w:t xml:space="preserve">ԱՀԱ ներդրման յուրաքանչյուր փուլում պետության կողմից իրականացվող համաֆինանսավորման </w:t>
      </w:r>
      <w:r w:rsidRPr="00A16E77">
        <w:rPr>
          <w:rFonts w:ascii="GHEA Grapalat" w:hAnsi="GHEA Grapalat"/>
          <w:sz w:val="24"/>
          <w:szCs w:val="24"/>
          <w:lang w:val="hy-AM"/>
        </w:rPr>
        <w:t>(</w:t>
      </w:r>
      <w:r w:rsidRPr="003C5B38">
        <w:rPr>
          <w:rFonts w:ascii="GHEA Grapalat" w:hAnsi="GHEA Grapalat"/>
          <w:sz w:val="24"/>
          <w:szCs w:val="24"/>
          <w:lang w:val="hy-AM"/>
        </w:rPr>
        <w:t>սուբսիդավորման</w:t>
      </w:r>
      <w:r w:rsidRPr="00A16E77">
        <w:rPr>
          <w:rFonts w:ascii="GHEA Grapalat" w:hAnsi="GHEA Grapalat"/>
          <w:sz w:val="24"/>
          <w:szCs w:val="24"/>
          <w:lang w:val="hy-AM"/>
        </w:rPr>
        <w:t>)</w:t>
      </w:r>
      <w:r w:rsidRPr="003C5B38">
        <w:rPr>
          <w:rFonts w:ascii="GHEA Grapalat" w:hAnsi="GHEA Grapalat"/>
          <w:sz w:val="24"/>
          <w:szCs w:val="24"/>
          <w:lang w:val="hy-AM"/>
        </w:rPr>
        <w:t xml:space="preserve"> սկզբունքներից և չափից</w:t>
      </w:r>
      <w:r w:rsidRPr="00A16E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ելնելով</w:t>
      </w:r>
      <w:r w:rsidRPr="003C5B38">
        <w:rPr>
          <w:rFonts w:ascii="GHEA Grapalat" w:hAnsi="GHEA Grapalat"/>
          <w:sz w:val="24"/>
          <w:szCs w:val="24"/>
          <w:lang w:val="hy-AM"/>
        </w:rPr>
        <w:t xml:space="preserve"> կկանխատեսվեն </w:t>
      </w:r>
      <w:r>
        <w:rPr>
          <w:rFonts w:ascii="GHEA Grapalat" w:hAnsi="GHEA Grapalat"/>
          <w:sz w:val="24"/>
          <w:szCs w:val="24"/>
          <w:lang w:val="hy-AM"/>
        </w:rPr>
        <w:t>դրանց ծավալները։</w:t>
      </w:r>
    </w:p>
    <w:p w14:paraId="552B4A44" w14:textId="4AB3D7FF" w:rsidR="00C56BFA" w:rsidRPr="003C5B38" w:rsidRDefault="00EC235F" w:rsidP="0068608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Ըստ ԱՀԱ ներդրման փուլերի, կ</w:t>
      </w:r>
      <w:r w:rsidR="00C56BFA">
        <w:rPr>
          <w:rFonts w:ascii="GHEA Grapalat" w:hAnsi="GHEA Grapalat"/>
          <w:sz w:val="24"/>
          <w:szCs w:val="24"/>
          <w:lang w:val="hy-AM"/>
        </w:rPr>
        <w:t>առավարությունը պետական բյուջեից ամբողջությամբ վճարվող աշխատավարձերի, կենսաթոշակների, նպաստների և այլ դրամական միջոցների շահառուների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համար պլանավորվող գումարների ավելացումներում կարող է նախատեսել վերջիններիս ապահովագրական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վճարները։ </w:t>
      </w:r>
      <w:r w:rsidR="00405574">
        <w:rPr>
          <w:rFonts w:ascii="GHEA Grapalat" w:hAnsi="GHEA Grapalat"/>
          <w:sz w:val="24"/>
          <w:szCs w:val="24"/>
          <w:lang w:val="hy-AM"/>
        </w:rPr>
        <w:t>Բացի դրանից</w:t>
      </w:r>
      <w:r w:rsidR="00B25704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16E9">
        <w:rPr>
          <w:rFonts w:ascii="GHEA Grapalat" w:hAnsi="GHEA Grapalat"/>
          <w:sz w:val="24"/>
          <w:szCs w:val="24"/>
          <w:lang w:val="hy-AM"/>
        </w:rPr>
        <w:t xml:space="preserve">ԱՀԱ ներդրման փորձարկման փուլի սկզբից՝ </w:t>
      </w:r>
      <w:r w:rsidR="005A16E9" w:rsidRPr="008F00C7">
        <w:rPr>
          <w:rFonts w:ascii="GHEA Grapalat" w:hAnsi="GHEA Grapalat"/>
          <w:sz w:val="24"/>
          <w:szCs w:val="24"/>
          <w:lang w:val="hy-AM"/>
        </w:rPr>
        <w:t>2024</w:t>
      </w:r>
      <w:r w:rsidR="005A16E9">
        <w:rPr>
          <w:rFonts w:ascii="GHEA Grapalat" w:hAnsi="GHEA Grapalat"/>
          <w:sz w:val="24"/>
          <w:szCs w:val="24"/>
          <w:lang w:val="hy-AM"/>
        </w:rPr>
        <w:t>թ-ից</w:t>
      </w:r>
      <w:r w:rsidR="00B25704">
        <w:rPr>
          <w:rFonts w:ascii="GHEA Grapalat" w:hAnsi="GHEA Grapalat"/>
          <w:sz w:val="24"/>
          <w:szCs w:val="24"/>
          <w:lang w:val="hy-AM"/>
        </w:rPr>
        <w:t xml:space="preserve"> սկսված</w:t>
      </w:r>
      <w:r w:rsidR="005A16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D52D6" w:rsidRPr="008D52D6">
        <w:rPr>
          <w:rFonts w:ascii="GHEA Grapalat" w:hAnsi="GHEA Grapalat"/>
          <w:sz w:val="24"/>
          <w:szCs w:val="24"/>
          <w:lang w:val="hy-AM"/>
        </w:rPr>
        <w:t>պետական հիմնարկների և կազմակերպությունների սոց</w:t>
      </w:r>
      <w:r w:rsidR="008D52D6">
        <w:rPr>
          <w:rFonts w:ascii="GHEA Grapalat" w:hAnsi="GHEA Grapalat"/>
          <w:sz w:val="24"/>
          <w:szCs w:val="24"/>
          <w:lang w:val="hy-AM"/>
        </w:rPr>
        <w:t xml:space="preserve">իալական </w:t>
      </w:r>
      <w:r w:rsidR="008D52D6" w:rsidRPr="008D52D6">
        <w:rPr>
          <w:rFonts w:ascii="GHEA Grapalat" w:hAnsi="GHEA Grapalat"/>
          <w:sz w:val="24"/>
          <w:szCs w:val="24"/>
          <w:lang w:val="hy-AM"/>
        </w:rPr>
        <w:t>փաթեթի շահառու</w:t>
      </w:r>
      <w:r w:rsidR="008D52D6" w:rsidRPr="008F0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2D6">
        <w:rPr>
          <w:rFonts w:ascii="GHEA Grapalat" w:hAnsi="GHEA Grapalat"/>
          <w:sz w:val="24"/>
          <w:szCs w:val="24"/>
          <w:lang w:val="hy-AM"/>
        </w:rPr>
        <w:t>և այլ</w:t>
      </w:r>
      <w:r w:rsidR="008D52D6" w:rsidRPr="008D52D6">
        <w:rPr>
          <w:rFonts w:ascii="GHEA Grapalat" w:hAnsi="GHEA Grapalat"/>
          <w:sz w:val="24"/>
          <w:szCs w:val="24"/>
          <w:lang w:val="hy-AM"/>
        </w:rPr>
        <w:t xml:space="preserve"> աշխատակիցներին հնարավորություն կընձեռնվի  սոցիալական փաթեթի </w:t>
      </w:r>
      <w:r w:rsidR="008D52D6">
        <w:rPr>
          <w:rFonts w:ascii="GHEA Grapalat" w:hAnsi="GHEA Grapalat"/>
          <w:sz w:val="24"/>
          <w:szCs w:val="24"/>
          <w:lang w:val="hy-AM"/>
        </w:rPr>
        <w:t>գումարը</w:t>
      </w:r>
      <w:r w:rsidR="008D52D6" w:rsidRPr="008D52D6">
        <w:rPr>
          <w:rFonts w:ascii="GHEA Grapalat" w:hAnsi="GHEA Grapalat"/>
          <w:sz w:val="24"/>
          <w:szCs w:val="24"/>
          <w:lang w:val="hy-AM"/>
        </w:rPr>
        <w:t xml:space="preserve"> վերահասցեագրել  որպես ապահովագրական վճար։</w:t>
      </w:r>
    </w:p>
    <w:p w14:paraId="258FBC05" w14:textId="77777777" w:rsidR="00194D03" w:rsidRPr="00A16E77" w:rsidRDefault="00194D03" w:rsidP="00194D0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9365D71" w14:textId="20C8AF94" w:rsidR="00DA29E7" w:rsidRPr="00887050" w:rsidRDefault="00B60E85" w:rsidP="00887050">
      <w:pPr>
        <w:pStyle w:val="Heading1"/>
        <w:numPr>
          <w:ilvl w:val="1"/>
          <w:numId w:val="17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19" w:name="_Toc122522085"/>
      <w:r>
        <w:rPr>
          <w:rFonts w:ascii="GHEA Grapalat" w:hAnsi="GHEA Grapalat"/>
          <w:sz w:val="24"/>
          <w:szCs w:val="24"/>
          <w:lang w:val="hy-AM"/>
        </w:rPr>
        <w:t>ԱՀԱ-</w:t>
      </w:r>
      <w:r w:rsidR="001E7102" w:rsidRPr="0088705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87A64">
        <w:rPr>
          <w:rFonts w:ascii="GHEA Grapalat" w:hAnsi="GHEA Grapalat"/>
          <w:sz w:val="24"/>
          <w:szCs w:val="24"/>
          <w:lang w:val="hy-AM"/>
        </w:rPr>
        <w:t>ֆինանսական միջոցների</w:t>
      </w:r>
      <w:r w:rsidR="001E7102" w:rsidRPr="00887050">
        <w:rPr>
          <w:rFonts w:ascii="GHEA Grapalat" w:hAnsi="GHEA Grapalat"/>
          <w:sz w:val="24"/>
          <w:szCs w:val="24"/>
          <w:lang w:val="hy-AM"/>
        </w:rPr>
        <w:t xml:space="preserve"> հավաքագրումը</w:t>
      </w:r>
      <w:bookmarkEnd w:id="19"/>
    </w:p>
    <w:p w14:paraId="468E762E" w14:textId="5525B9C6" w:rsidR="00D022DD" w:rsidRPr="00887050" w:rsidRDefault="00C06E33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60E85"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1E7102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386270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ներդրման նախապատրաստական փուլում 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օրենքով կսահմանվեն </w:t>
      </w:r>
      <w:r w:rsidR="00087A64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ֆինանսական միջոցների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հավաքագրման ժամկետները, պարբերականությունը, տեղեկատվության փոխանակման կարգն ու պայմանները։ Առանձին ենթաօրենսդրական ակտերով, ինչպես նաև </w:t>
      </w:r>
      <w:r w:rsidR="00B60E85">
        <w:rPr>
          <w:rFonts w:ascii="GHEA Grapalat" w:hAnsi="GHEA Grapalat"/>
          <w:color w:val="000000" w:themeColor="text1"/>
          <w:sz w:val="24"/>
          <w:szCs w:val="24"/>
          <w:lang w:val="hy-AM"/>
        </w:rPr>
        <w:t>ԱՀԱ Հիմնադրամի կառավարման խորհրդի որոշումներով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կսահմանվեն քաղաքացիների կողմից համաֆինանսավորման </w:t>
      </w:r>
      <w:r w:rsidR="0092639D">
        <w:rPr>
          <w:rFonts w:ascii="GHEA Grapalat" w:hAnsi="GHEA Grapalat"/>
          <w:color w:val="000000" w:themeColor="text1"/>
          <w:sz w:val="24"/>
          <w:szCs w:val="24"/>
          <w:lang w:val="hy-AM"/>
        </w:rPr>
        <w:t>գումարների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հավաքագրման առանձնահատկությունները։</w:t>
      </w:r>
    </w:p>
    <w:p w14:paraId="346DE918" w14:textId="3CC84F4A" w:rsidR="001E7102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8B37E4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փորձարկման փուլում </w:t>
      </w:r>
      <w:r w:rsidR="00087A64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ֆինանսական միջոցների</w:t>
      </w:r>
      <w:r w:rsidR="00386270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հավաքագր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="00386270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ը կ</w:t>
      </w:r>
      <w:r w:rsidR="008B37E4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վի</w:t>
      </w:r>
      <w:r w:rsidR="002C7097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գանձապետական հատուկ հաշվում։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ամբողջական ներդրումից հետո </w:t>
      </w:r>
      <w:r w:rsidR="00087A64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ֆինանսական միջոցների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հավաքագրումը կարող է </w:t>
      </w:r>
      <w:r w:rsidR="009F5CAE">
        <w:rPr>
          <w:rFonts w:ascii="GHEA Grapalat" w:hAnsi="GHEA Grapalat"/>
          <w:color w:val="000000" w:themeColor="text1"/>
          <w:sz w:val="24"/>
          <w:szCs w:val="24"/>
          <w:lang w:val="hy-AM"/>
        </w:rPr>
        <w:t>փոխանցվել</w:t>
      </w:r>
      <w:r w:rsidR="003E19DE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կենսաթոշակային հիմնադրամների</w:t>
      </w:r>
      <w:r w:rsidR="009F5CAE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1F58DB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6941973B" w14:textId="0270C508" w:rsidR="00D022DD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087A64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ֆինանսական միջոցների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հավաքագրման մեխանիզմները</w:t>
      </w:r>
      <w:r w:rsidR="0091797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կտարբերակվեն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797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ըստ 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եկամուտների աղբյուրների։ Պետական բյուջեից </w:t>
      </w:r>
      <w:r w:rsidR="00EE1A90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ֆինանսական միջոցները</w:t>
      </w:r>
      <w:r w:rsidR="00D022D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կհավաքագրվեն ամսեկան կտրվածքով՝ ըստ պետական համաֆինանսավորման չափերի ձևավորված </w:t>
      </w:r>
      <w:r w:rsidR="004C1065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շահառուների ցանկերի։ Մասնակիցներն իրենց վճարները կփոխանցեն իրենց գործատուների միջոցով կամ ինքնուրույն՝ կախված շահառուի փոխանցման պահին ունեցած կարգավիճակից։</w:t>
      </w:r>
    </w:p>
    <w:p w14:paraId="6B28F06A" w14:textId="4ECA7183" w:rsidR="00176ED1" w:rsidRPr="00887050" w:rsidRDefault="000C6662" w:rsidP="00887050">
      <w:pPr>
        <w:pStyle w:val="Heading1"/>
        <w:numPr>
          <w:ilvl w:val="0"/>
          <w:numId w:val="17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20" w:name="_Toc122522086"/>
      <w:r w:rsidRPr="00887050">
        <w:rPr>
          <w:rFonts w:ascii="GHEA Grapalat" w:hAnsi="GHEA Grapalat"/>
          <w:sz w:val="24"/>
          <w:szCs w:val="24"/>
          <w:lang w:val="hy-AM"/>
        </w:rPr>
        <w:t>Կ</w:t>
      </w:r>
      <w:r w:rsidR="00176ED1" w:rsidRPr="00887050">
        <w:rPr>
          <w:rFonts w:ascii="GHEA Grapalat" w:hAnsi="GHEA Grapalat"/>
          <w:sz w:val="24"/>
          <w:szCs w:val="24"/>
          <w:lang w:val="hy-AM"/>
        </w:rPr>
        <w:t>առավարումը</w:t>
      </w:r>
      <w:bookmarkEnd w:id="20"/>
    </w:p>
    <w:p w14:paraId="171B209E" w14:textId="023C122A" w:rsidR="00176ED1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176ED1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կառավարման </w:t>
      </w:r>
      <w:r w:rsidR="000C6662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նպատակով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0C6662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176ED1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ներդրման նախապատրաստական փուլում կստեղծվի առողջության համապարփակ ապահովագրության հիմնադրամ (այսուհետ՝ Հիմնադրամ)։</w:t>
      </w:r>
    </w:p>
    <w:p w14:paraId="125FA407" w14:textId="6376306D" w:rsidR="00A22DC6" w:rsidRPr="00887050" w:rsidRDefault="000C6662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Հիմնադրամի գործառույթները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սահմանվեն օրենքով, </w:t>
      </w:r>
      <w:r w:rsidR="008A2272">
        <w:rPr>
          <w:rFonts w:ascii="GHEA Grapalat" w:hAnsi="GHEA Grapalat"/>
          <w:color w:val="000000" w:themeColor="text1"/>
          <w:sz w:val="24"/>
          <w:szCs w:val="24"/>
          <w:lang w:val="hy-AM"/>
        </w:rPr>
        <w:t>իսկ կանոնադրությունը կհաստատվի կառավարության որոշմամբ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Հիմնադրամը կունենա կառավարման խորհուրդ, որի կողմից կիրականացվի հիմնական որոշումների ընդունումը: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Հիմնադրամի կառավարման ընթացքում արդյունավետ որոշումների կայացման, դրանց մասնակցային և թափանցիկ բնույթն ապահովելու նպատակով, կ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առավարման խորհրդին կից կգործեն երկու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հանձնաժողովներ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ռազմավարական գնումների և կատարողականի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վերահսկման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Խորհրդի անդամները կաշխատեն հասարակական հիմունքներով: Կառավարման խորհրդում </w:t>
      </w:r>
      <w:r w:rsidR="00EE1A90">
        <w:rPr>
          <w:rFonts w:ascii="GHEA Grapalat" w:hAnsi="GHEA Grapalat"/>
          <w:color w:val="000000" w:themeColor="text1"/>
          <w:sz w:val="24"/>
          <w:szCs w:val="24"/>
          <w:lang w:val="hy-AM"/>
        </w:rPr>
        <w:t>կարող են ընդգրկվել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կառավարության անդամներ, գործատուների, աշխատողների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սպառողների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առողջապահության մասնագիտական հատվածի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շահերը ներկայացնող կազմակերպությունների անդամներ՝ հավասար ներկայացուցչականությամբ (50-ական տոկոս մասնակցությամբ կառավարության և մյուս ներկայացուցիչների համար): Կառավարման խորհրդին կից </w:t>
      </w:r>
      <w:r w:rsidR="00740865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հանձնաժողովներում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կլինեն ներկայացուցիչներ բժշկական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կազմակերպությունները ներկայացնող 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միություններից, հասարակական կազմակերպություններից, մասնագիտացված ասոցիացիաներից: Կարող են ընդգրկվել նաև 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ոլորտային 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փորձագետներ: Կառավարման խորհրդի կազմը կնշանակվի վարչապետի կողմից, 1</w:t>
      </w:r>
      <w:r w:rsidR="008A2272">
        <w:rPr>
          <w:rFonts w:ascii="GHEA Grapalat" w:hAnsi="GHEA Grapalat"/>
          <w:color w:val="000000" w:themeColor="text1"/>
          <w:sz w:val="24"/>
          <w:szCs w:val="24"/>
          <w:lang w:val="hy-AM"/>
        </w:rPr>
        <w:t>-ից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 տարի ժամկետով, իսկ կառավարման խորհրդի նախագահ ի պաշտոնե կնշանակվի </w:t>
      </w:r>
      <w:r w:rsidR="00FC612B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առողջապահության նախարարը</w:t>
      </w:r>
      <w:r w:rsidR="009642D1" w:rsidRPr="00A16E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9642D1" w:rsidRPr="009349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Հիմնադրամի կառուցվածքը ներկայացված է հավելված </w:t>
      </w:r>
      <w:r w:rsidR="0093499B" w:rsidRPr="00A16E77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93499B">
        <w:rPr>
          <w:rFonts w:ascii="GHEA Grapalat" w:hAnsi="GHEA Grapalat"/>
          <w:color w:val="000000" w:themeColor="text1"/>
          <w:sz w:val="24"/>
          <w:szCs w:val="24"/>
          <w:lang w:val="hy-AM"/>
        </w:rPr>
        <w:t>-ում</w:t>
      </w:r>
      <w:r w:rsidR="009642D1" w:rsidRPr="00A16E77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B05FB40" w14:textId="06884BDB" w:rsidR="00A22DC6" w:rsidRPr="00887050" w:rsidRDefault="009642D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Ծառայությունների գնման նպատակով բժշկական կազմակերպությունների ընտրության չափանիշները և կարգը </w:t>
      </w:r>
      <w:r w:rsidR="008A2272">
        <w:rPr>
          <w:rFonts w:ascii="GHEA Grapalat" w:hAnsi="GHEA Grapalat" w:cs="Arial"/>
          <w:sz w:val="24"/>
          <w:szCs w:val="24"/>
          <w:lang w:val="hy-AM"/>
        </w:rPr>
        <w:t xml:space="preserve">սահմանվում են Հիմնադրամի խորհրդի կողմից և </w:t>
      </w:r>
      <w:r w:rsidRPr="00887050">
        <w:rPr>
          <w:rFonts w:ascii="GHEA Grapalat" w:hAnsi="GHEA Grapalat" w:cs="Arial"/>
          <w:sz w:val="24"/>
          <w:szCs w:val="24"/>
          <w:lang w:val="hy-AM"/>
        </w:rPr>
        <w:t>պետք է հանդիսանան այն հիմնա</w:t>
      </w:r>
      <w:r w:rsidR="00917978">
        <w:rPr>
          <w:rFonts w:ascii="GHEA Grapalat" w:hAnsi="GHEA Grapalat" w:cs="Arial"/>
          <w:sz w:val="24"/>
          <w:szCs w:val="24"/>
          <w:lang w:val="hy-AM"/>
        </w:rPr>
        <w:t>քարեր</w:t>
      </w:r>
      <w:r w:rsidRPr="00887050">
        <w:rPr>
          <w:rFonts w:ascii="GHEA Grapalat" w:hAnsi="GHEA Grapalat" w:cs="Arial"/>
          <w:sz w:val="24"/>
          <w:szCs w:val="24"/>
          <w:lang w:val="hy-AM"/>
        </w:rPr>
        <w:t>ը, որոնք կապահովեն Հիմնադրամի ֆինանսական կայունությունը, ապահովագրության ներդրման նպատակների իրագործումը, ռազմավարական գնորդին բնորոշ գործառույթների իրացումը։</w:t>
      </w:r>
    </w:p>
    <w:p w14:paraId="6200B496" w14:textId="558D452C" w:rsidR="00A22DC6" w:rsidRPr="00887050" w:rsidRDefault="009642D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Պայմանագրերի ընտրողական կնքման սկզբունքը (selective contracting) պետք է կիրառվի ոչ միայն բժշկական կազմակերպությունների, այլ նաև այդ բժշկական կազմակերպություններից գնման ենթակա ծառայությունների ցանկերի նկատմամբ: Անհրաժեշտ է գնահատել նաև բժշկական օգնության և սպասարկման որոշակի ծառայությունների նկատմամբ բնակչության պահանջարկը ըստ տարածաշրջանների՝ հիմնվելով դրանց սպառման ցուցանիշների վերլուծությունների վրա: ԱՆ-ն և Հիմնադրամը համատեղ կմշակեն բժշկական օգնության և սպասարկման և դեղերի որոշակի տեսակներ ՀԾՓ-ում և ՆԾՓ-ում ընդգրկելու (կամ չընդգրկելու) սկզբունքներ, որը պետք է հիմնված լինի հիվանդացության և մահացության ցուցանիշների վերլուծության, </w:t>
      </w:r>
      <w:r w:rsidR="00EE1A90">
        <w:rPr>
          <w:rFonts w:ascii="GHEA Grapalat" w:hAnsi="GHEA Grapalat" w:cs="Arial"/>
          <w:sz w:val="24"/>
          <w:szCs w:val="24"/>
          <w:lang w:val="hy-AM"/>
        </w:rPr>
        <w:t xml:space="preserve">ապացուցողական բժշկության հիման վրա կատարված </w:t>
      </w:r>
      <w:r w:rsidRPr="00887050">
        <w:rPr>
          <w:rFonts w:ascii="GHEA Grapalat" w:hAnsi="GHEA Grapalat" w:cs="Arial"/>
          <w:sz w:val="24"/>
          <w:szCs w:val="24"/>
          <w:lang w:val="hy-AM"/>
        </w:rPr>
        <w:t>ծախսարդյունավետության գնահատման, ինչպես նաև տեխնոլոգիական զարգացման ապահովման վրա: Այս սկզբունքներ</w:t>
      </w:r>
      <w:r w:rsidR="00917978">
        <w:rPr>
          <w:rFonts w:ascii="GHEA Grapalat" w:hAnsi="GHEA Grapalat" w:cs="Arial"/>
          <w:sz w:val="24"/>
          <w:szCs w:val="24"/>
          <w:lang w:val="hy-AM"/>
        </w:rPr>
        <w:t>ի հիման վրա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կառավարությ</w:t>
      </w:r>
      <w:r w:rsidR="00917978">
        <w:rPr>
          <w:rFonts w:ascii="GHEA Grapalat" w:hAnsi="GHEA Grapalat" w:cs="Arial"/>
          <w:sz w:val="24"/>
          <w:szCs w:val="24"/>
          <w:lang w:val="hy-AM"/>
        </w:rPr>
        <w:t>ու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նը </w:t>
      </w:r>
      <w:r w:rsidR="00917978">
        <w:rPr>
          <w:rFonts w:ascii="GHEA Grapalat" w:hAnsi="GHEA Grapalat" w:cs="Arial"/>
          <w:sz w:val="24"/>
          <w:szCs w:val="24"/>
          <w:lang w:val="hy-AM"/>
        </w:rPr>
        <w:t xml:space="preserve">կիրականացնի 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ՀԾՓ-ի </w:t>
      </w:r>
      <w:r w:rsidR="003003A7">
        <w:rPr>
          <w:rFonts w:ascii="GHEA Grapalat" w:hAnsi="GHEA Grapalat" w:cs="Arial"/>
          <w:sz w:val="24"/>
          <w:szCs w:val="24"/>
          <w:lang w:val="hy-AM"/>
        </w:rPr>
        <w:t xml:space="preserve">և ՆԾՓ-ի </w:t>
      </w:r>
      <w:r w:rsidRPr="00887050">
        <w:rPr>
          <w:rFonts w:ascii="GHEA Grapalat" w:hAnsi="GHEA Grapalat" w:cs="Arial"/>
          <w:sz w:val="24"/>
          <w:szCs w:val="24"/>
          <w:lang w:val="hy-AM"/>
        </w:rPr>
        <w:t>պարբերական վերանայումներ:</w:t>
      </w:r>
    </w:p>
    <w:p w14:paraId="3D061274" w14:textId="102294CD" w:rsidR="00A22DC6" w:rsidRPr="00887050" w:rsidRDefault="009642D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Հիմնադրամի աշխատակազմը պետք է 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ունենա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բժշկական կազմակերպությունների ներկայացուցիչների հետ պայմանագրերի </w:t>
      </w:r>
      <w:r w:rsidR="00F761DE">
        <w:rPr>
          <w:rFonts w:ascii="GHEA Grapalat" w:hAnsi="GHEA Grapalat" w:cs="Arial"/>
          <w:sz w:val="24"/>
          <w:szCs w:val="24"/>
          <w:lang w:val="hy-AM"/>
        </w:rPr>
        <w:t>կազմման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և կատարման պայմանների 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մշտադիտարկման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գործառույթներ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Մշտադիտարկումները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պետք է կատարվեն համապատասխան վերլուծություններ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ի միջոցով՝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բժշկական կազմակերպություների հզորությունների, բժշկական օգնության և սպասարկման որակի, ֆինանսական կարգապահության, պացիենտների կարծիքների վերաբերյալ բժշկական կազմակերպություններից </w:t>
      </w:r>
      <w:r w:rsidR="009F5CA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կամ հարցումների միջոցով 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ստացվող տվյալների հիման վրա։ Այդ ամենը 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>պետք է նպաստի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պայմանագրերի ընտրողական կնքման, ինչը պետք է հիմնված լինի հստակ սահմանված չափանիշների և թափանցիկ գործընթացի վրա և ապահովի բնակչության համար ծառայությունների ֆիզիկական (տարածքային) մատչելիություն</w:t>
      </w:r>
      <w:r w:rsidR="008F2DBE" w:rsidRPr="00887050">
        <w:rPr>
          <w:rFonts w:ascii="GHEA Grapalat" w:hAnsi="GHEA Grapalat" w:cs="Arial"/>
          <w:sz w:val="24"/>
          <w:szCs w:val="24"/>
          <w:lang w:val="hy-AM"/>
        </w:rPr>
        <w:t xml:space="preserve"> և որակի համապատասխան մակարդակ</w:t>
      </w:r>
      <w:r w:rsidRPr="00887050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B617BA0" w14:textId="7440FEE0" w:rsidR="00A22DC6" w:rsidRPr="00887050" w:rsidRDefault="00FC612B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Պայմանագրային գումարի</w:t>
      </w:r>
      <w:r w:rsidR="009642D1" w:rsidRPr="00887050">
        <w:rPr>
          <w:rFonts w:ascii="GHEA Grapalat" w:hAnsi="GHEA Grapalat" w:cs="Arial"/>
          <w:sz w:val="24"/>
          <w:szCs w:val="24"/>
          <w:lang w:val="hy-AM"/>
        </w:rPr>
        <w:t xml:space="preserve"> կիրառումը կարևոր գործիք է ֆինանսական միջոցները արդյունավետ ծախսելու համար, սակայն դրա կիրառումը պետք է շատ ճկուն լինի, չնախատեսի պայմանագր</w:t>
      </w:r>
      <w:r w:rsidR="009F5CAE">
        <w:rPr>
          <w:rFonts w:ascii="GHEA Grapalat" w:hAnsi="GHEA Grapalat" w:cs="Arial"/>
          <w:sz w:val="24"/>
          <w:szCs w:val="24"/>
          <w:lang w:val="hy-AM"/>
        </w:rPr>
        <w:t>ային գումարների փոփոխության հետևանքով</w:t>
      </w:r>
      <w:r w:rsidR="009642D1" w:rsidRPr="008870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5CAE">
        <w:rPr>
          <w:rFonts w:ascii="GHEA Grapalat" w:hAnsi="GHEA Grapalat" w:cs="Arial"/>
          <w:sz w:val="24"/>
          <w:szCs w:val="24"/>
          <w:lang w:val="hy-AM"/>
        </w:rPr>
        <w:t xml:space="preserve">պայմանագրերի </w:t>
      </w:r>
      <w:r w:rsidR="009642D1" w:rsidRPr="00887050">
        <w:rPr>
          <w:rFonts w:ascii="GHEA Grapalat" w:hAnsi="GHEA Grapalat" w:cs="Arial"/>
          <w:sz w:val="24"/>
          <w:szCs w:val="24"/>
          <w:lang w:val="hy-AM"/>
        </w:rPr>
        <w:t>անընդհատ փոփոխություններ, հաշվի առնի նաև բժշկական օգնության և սպասարկման որակը բնութագրող ցուցանիշների գնահատումը։</w:t>
      </w:r>
    </w:p>
    <w:p w14:paraId="1BD671FE" w14:textId="326CD076" w:rsidR="00A22DC6" w:rsidRPr="00887050" w:rsidRDefault="009642D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>Նախատեսվում է, որ հիմնադրամը կօգտագործի գնագոյացման մշակված գործիքներ՝ օգտագործվող դեղերի և ԲՆԱ ծավալները և հնարավոր ծախսերը</w:t>
      </w:r>
      <w:r w:rsidR="009F5CA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5CAE" w:rsidRPr="00887050">
        <w:rPr>
          <w:rFonts w:ascii="GHEA Grapalat" w:hAnsi="GHEA Grapalat" w:cs="Arial"/>
          <w:sz w:val="24"/>
          <w:szCs w:val="24"/>
          <w:lang w:val="hy-AM"/>
        </w:rPr>
        <w:t>գնահատելու համար</w:t>
      </w:r>
      <w:r w:rsidRPr="00887050">
        <w:rPr>
          <w:rFonts w:ascii="GHEA Grapalat" w:hAnsi="GHEA Grapalat" w:cs="Arial"/>
          <w:sz w:val="24"/>
          <w:szCs w:val="24"/>
          <w:lang w:val="hy-AM"/>
        </w:rPr>
        <w:t>։ Այդ գործիքները Հիմնադրամը կօգտագործի տեղական արտադրողների և ներմուծողների հետ բանակցելիս՝ ծառայության գների վերաբերյալ համաձայնություն ստանալու ժամանակ, իսկ դեղերի և ԲՆԱ կենտրոնացված ձեռք բերման հնարավորությունը կարող է օգտագործվել որպես գործիք՝ ներքին արտադրողների և ներմուծողների հետ բանակցություններում։</w:t>
      </w:r>
    </w:p>
    <w:p w14:paraId="01026A14" w14:textId="398E1C0A" w:rsidR="009642D1" w:rsidRPr="00887050" w:rsidRDefault="009642D1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>Մարդասիրական, բարեգործական ճանապարհներով ստացված ապրանքների բաշխումը և դրանց հետագա ծախսագրումը պետք է համաձայնեցվի Հիմնադրամի հետ։ Հիմնադրամը նաև պետք է լիազորություն ունենա մասնակցել ԱՆ կողմից՝ դոնոր կազմակերպությունների հետ համատեղ մշակվող ծրագրերին, ներկայացնել առաջարկություններ կազմվող ծրագրերի վերաբերյալ։ Հիմնադրամը կարող է նաև հանդես գալ որպես առողջապահության բնագավառում ԱՆ-ի հետ համատեղ ծրագրեր իրականացնող՝ գնահատելով ծրագրի անհրաժեշտ ուղղությունները և իրականացման դեպքում դրա ծախսարդյունավետությունը։</w:t>
      </w:r>
    </w:p>
    <w:p w14:paraId="77D529F1" w14:textId="77777777" w:rsidR="008F2DBE" w:rsidRPr="00887050" w:rsidRDefault="008F2DBE" w:rsidP="00887050">
      <w:pPr>
        <w:pStyle w:val="NormalWeb"/>
        <w:shd w:val="clear" w:color="auto" w:fill="FFFFFF"/>
        <w:spacing w:after="0" w:afterAutospacing="0" w:line="276" w:lineRule="auto"/>
        <w:ind w:left="-360"/>
        <w:jc w:val="both"/>
        <w:rPr>
          <w:rFonts w:ascii="GHEA Grapalat" w:hAnsi="GHEA Grapalat" w:cs="Arial"/>
          <w:lang w:val="hy-AM"/>
        </w:rPr>
      </w:pPr>
    </w:p>
    <w:p w14:paraId="344B57BE" w14:textId="73F0EA97" w:rsidR="00F5223D" w:rsidRPr="00887050" w:rsidRDefault="00F02F7D" w:rsidP="00887050">
      <w:pPr>
        <w:pStyle w:val="Heading1"/>
        <w:numPr>
          <w:ilvl w:val="0"/>
          <w:numId w:val="17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21" w:name="_Toc122522087"/>
      <w:r w:rsidRPr="00887050">
        <w:rPr>
          <w:rFonts w:ascii="GHEA Grapalat" w:hAnsi="GHEA Grapalat"/>
          <w:sz w:val="24"/>
          <w:szCs w:val="24"/>
          <w:lang w:val="hy-AM"/>
        </w:rPr>
        <w:t>Ծառայությունների փոխհատուցումը</w:t>
      </w:r>
      <w:bookmarkEnd w:id="21"/>
    </w:p>
    <w:p w14:paraId="3869DF7D" w14:textId="741B0396" w:rsidR="00A22DC6" w:rsidRPr="00887050" w:rsidRDefault="00B60E85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կողմից հատուցումները կարգավորող ենթաօրենսդրական նորմատիվ փաստաթղթերը կմշակվեն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="00F5223D"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ի ներդրման նախապատրաստական փուլում։</w:t>
      </w:r>
    </w:p>
    <w:p w14:paraId="1AA6651D" w14:textId="0EADB837" w:rsidR="00A22DC6" w:rsidRPr="00887050" w:rsidRDefault="00F5223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Նախապատրաստական փուլում կսահմանվեն </w:t>
      </w:r>
      <w:r w:rsidR="00B60E85">
        <w:rPr>
          <w:rFonts w:ascii="GHEA Grapalat" w:hAnsi="GHEA Grapalat"/>
          <w:color w:val="000000" w:themeColor="text1"/>
          <w:sz w:val="24"/>
          <w:szCs w:val="24"/>
          <w:lang w:val="hy-AM"/>
        </w:rPr>
        <w:t>ԱՀԱ-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ի կայունացման/պահուստային միջոցների չափերը։</w:t>
      </w:r>
    </w:p>
    <w:p w14:paraId="29883425" w14:textId="3F0ED2EC" w:rsidR="00A22DC6" w:rsidRPr="00887050" w:rsidRDefault="00F5223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Հատուցումների ապահովման և </w:t>
      </w:r>
      <w:r w:rsidR="007352FB">
        <w:rPr>
          <w:rFonts w:ascii="GHEA Grapalat" w:hAnsi="GHEA Grapalat"/>
          <w:color w:val="000000" w:themeColor="text1"/>
          <w:sz w:val="24"/>
          <w:szCs w:val="24"/>
          <w:lang w:val="hy-AM"/>
        </w:rPr>
        <w:t>ԱՀԱ Հիմնադրամի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կառավարման ծախսերի իրականացման նպատակով կսահմանվեն պարբերական վճարումների կատարման համար անհրաժեշտ շրջանառու միջոցների չափերն ու դրանց տրամադրման մեխանիզմները, որոնք կ</w:t>
      </w:r>
      <w:r w:rsidR="007352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արող են 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>վերանայվե</w:t>
      </w:r>
      <w:r w:rsidR="007352FB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ըստ </w:t>
      </w:r>
      <w:r w:rsidR="00B60E85">
        <w:rPr>
          <w:rFonts w:ascii="GHEA Grapalat" w:hAnsi="GHEA Grapalat"/>
          <w:color w:val="000000" w:themeColor="text1"/>
          <w:sz w:val="24"/>
          <w:szCs w:val="24"/>
          <w:lang w:val="hy-AM"/>
        </w:rPr>
        <w:t>ԱՀԱ</w:t>
      </w:r>
      <w:r w:rsidRPr="008870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ներդրման փուլերի։</w:t>
      </w:r>
    </w:p>
    <w:p w14:paraId="3F317E16" w14:textId="58980EC4" w:rsidR="00A22DC6" w:rsidRPr="00887050" w:rsidRDefault="00F02F7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lastRenderedPageBreak/>
        <w:t>ԱՀԱ ներդրման</w:t>
      </w:r>
      <w:r w:rsidR="007352FB">
        <w:rPr>
          <w:rFonts w:ascii="GHEA Grapalat" w:hAnsi="GHEA Grapalat" w:cs="Arial"/>
          <w:sz w:val="24"/>
          <w:szCs w:val="24"/>
          <w:lang w:val="hy-AM"/>
        </w:rPr>
        <w:t xml:space="preserve"> արդյունավետության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համար կարևոր նշանակություն ունեն ծառայությունների դիմաց փոխհատուցման մեխանիզմները։ Ապահովագրական փաթեթներում ընդգրկվող հիմնական ծառայությունների փոխհատուցման համար 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կ</w:t>
      </w:r>
      <w:r w:rsidRPr="00887050">
        <w:rPr>
          <w:rFonts w:ascii="GHEA Grapalat" w:hAnsi="GHEA Grapalat" w:cs="Arial"/>
          <w:sz w:val="24"/>
          <w:szCs w:val="24"/>
          <w:lang w:val="hy-AM"/>
        </w:rPr>
        <w:t>կիրառվի խառը փոխհատուցման սկզբունքը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։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ԱԱՊ մակարդակում 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կ</w:t>
      </w:r>
      <w:r w:rsidRPr="00887050">
        <w:rPr>
          <w:rFonts w:ascii="GHEA Grapalat" w:hAnsi="GHEA Grapalat" w:cs="Arial"/>
          <w:sz w:val="24"/>
          <w:szCs w:val="24"/>
          <w:lang w:val="hy-AM"/>
        </w:rPr>
        <w:t>զուգակցվ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են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ըստ մարդաշնչի ֆինանսավորումը, ամբուլատոր պայմաններում հիվանդությունների բուժման դիմաց փոխհատուցմ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ան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, ինչպես նաև ըստ գործունեության արդյունքների գնահատման ֆինանսավորման էլեմենտները: Հիվանդանոցային մակարդակում փոխհատուցումը 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կ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իրականացվի ըստ ավարտված դեպքի՝ այն զուգակցելով 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պայմանագրային գումարի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և որակի գնահատման ցուցանիշների էլեմենտներով:</w:t>
      </w:r>
    </w:p>
    <w:p w14:paraId="7D62E6A8" w14:textId="77777777" w:rsidR="00A22DC6" w:rsidRPr="00887050" w:rsidRDefault="00F02F7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Արտահիվանդանոցային պայմաններում քրոնիկ հիվանդությունների դեպքում դեղերի փոխհատուցումը կիրականացվի դեղատոմսերի հիման վրա՝ հիմնական դեղերի ցանկում ընդգրկված և փոխհատուցման ենթակա դեղերի համար Հիմնադրամի կողմից սահմանված դեղերի առավելագույն գների վերաբերյալ հրապարակային առաջարկ ներկայացնելու միջոցով, որին կարող է միանալ  տարածքում գործող և համապատասխան լիցենզիա ունեցող ցանկացած  կազմակերպություն: Հիմնադրամը կվարի դեղերի փաթեթների սահմանաչափերի վերաբերյալ </w:t>
      </w:r>
      <w:r w:rsidR="00F97768" w:rsidRPr="00887050">
        <w:rPr>
          <w:rFonts w:ascii="GHEA Grapalat" w:hAnsi="GHEA Grapalat" w:cs="Arial"/>
          <w:sz w:val="24"/>
          <w:szCs w:val="24"/>
          <w:lang w:val="hy-AM"/>
        </w:rPr>
        <w:t>շահառուների</w:t>
      </w: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 անհատականացված հաշվառում:</w:t>
      </w:r>
    </w:p>
    <w:p w14:paraId="0B005EF0" w14:textId="6139A4CE" w:rsidR="00F02F7D" w:rsidRPr="00887050" w:rsidRDefault="00F02F7D" w:rsidP="0088705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87050">
        <w:rPr>
          <w:rFonts w:ascii="GHEA Grapalat" w:hAnsi="GHEA Grapalat" w:cs="Arial"/>
          <w:sz w:val="24"/>
          <w:szCs w:val="24"/>
          <w:lang w:val="hy-AM"/>
        </w:rPr>
        <w:t xml:space="preserve">Արտահիվանդանոցային պայմաններում </w:t>
      </w:r>
      <w:r w:rsidR="007352FB" w:rsidRPr="00887050">
        <w:rPr>
          <w:rFonts w:ascii="GHEA Grapalat" w:hAnsi="GHEA Grapalat" w:cs="Arial"/>
          <w:sz w:val="24"/>
          <w:szCs w:val="24"/>
          <w:lang w:val="hy-AM"/>
        </w:rPr>
        <w:t xml:space="preserve">քրոնիկ հիվանդությունների դեպքում </w:t>
      </w:r>
      <w:r w:rsidRPr="00887050">
        <w:rPr>
          <w:rFonts w:ascii="GHEA Grapalat" w:hAnsi="GHEA Grapalat" w:cs="Arial"/>
          <w:sz w:val="24"/>
          <w:szCs w:val="24"/>
          <w:lang w:val="hy-AM"/>
        </w:rPr>
        <w:t>դեղերի՝ Հիմնադրամի կողմից սահմանված փոխհատուցման առավելագույն գնից բարձր գնով ձեռքբերման դեպքում կգործի լրավճարի սկզբունքը և քաղաքացին կվճարի հաստատված առավելագույն գնի և վաճառքի գնի տարբերությունը։ Փոխհատուցվող դեղերի ցանկը կազմելու համար կիրականացվի հիմնական դեղերի ցանկի վերանայում և գնահատում, դրա արդունավետության գնահատում՝ ելնելով հիմնական հիվանդությունների կառուցվածքից և շահառուների խմբերից:</w:t>
      </w:r>
    </w:p>
    <w:p w14:paraId="5A298050" w14:textId="68E219DF" w:rsidR="00F02F7D" w:rsidRPr="00A22DC6" w:rsidRDefault="00F02F7D" w:rsidP="00A22DC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Փոխհատուցման համար կիրառվելու են ԱՆ կողմից հաստատված նոր մեթոդաբանության հիման վրա հաշվարկված բժշկական օգնության և սպասարկման ծառայությունների գները։ Ընդ որում, ծառայությունների գների հաշվարկման հիմքում ընկած նորմատիվային ծախսերը՝ դեղերի և ԲՆԱ, լաբորատոր-գործիքային հետազոտություների, վիրահատական միջամտությունների, ախտորոշման և բուժման ընթացքում մատուցված մասնագիտական խորհրդատվության մասով, պետք է հանդիսանան ծառայությունների մատուցման նվազագույն տեխնիկական չափանիշներ։ </w:t>
      </w:r>
      <w:r w:rsidR="00F97768" w:rsidRPr="00A22DC6">
        <w:rPr>
          <w:rFonts w:ascii="GHEA Grapalat" w:hAnsi="GHEA Grapalat" w:cs="Arial"/>
          <w:sz w:val="24"/>
          <w:szCs w:val="24"/>
          <w:lang w:val="hy-AM"/>
        </w:rPr>
        <w:t>Նախապատրաստման փուլում կ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սահմանվեն նաև բուժանձնակազմի աշխատավարձի նվազագույն սահմանաչափերը՝ ըստ մասնագիտությունների։ Կարևոր է նաև վերադիր ծախսերի չափաքանակների սահմանումը։ Վերադիր ծախսերի չափը կարող է օգտագործվել որպես բժշկական կազմակերպությունների զարգացման ցուցիչ։ Զարգացող առողջապահության </w:t>
      </w:r>
      <w:r w:rsidR="009E4A73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 ունենալու, ներդրումներ ապահովելու նպատակով վերադիր ծախսերի </w:t>
      </w:r>
      <w:r w:rsidRPr="00A22DC6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չափը կարող է ավելացվել։ Հիմնադրամը նաև պետք է հրապարակի փոխհատուցման ենթակա ծառայությունների տեխնիկական նվազագույն պայմանները՝ այդ թվում լաբորատոր-գործիքային հետազոտությունների համար։ </w:t>
      </w:r>
    </w:p>
    <w:p w14:paraId="4766BFD5" w14:textId="6A900542" w:rsidR="00A22DC6" w:rsidRDefault="00F02F7D" w:rsidP="00A22DC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Պայմանագրով նախատեսված պայմանների </w:t>
      </w:r>
      <w:bookmarkStart w:id="22" w:name="_Hlk122082714"/>
      <w:r w:rsidR="00EE1A90">
        <w:rPr>
          <w:rFonts w:ascii="GHEA Grapalat" w:hAnsi="GHEA Grapalat" w:cs="Arial"/>
          <w:sz w:val="24"/>
          <w:szCs w:val="24"/>
          <w:lang w:val="hy-AM"/>
        </w:rPr>
        <w:t>էական</w:t>
      </w:r>
      <w:r w:rsidR="00F06DB1">
        <w:rPr>
          <w:rFonts w:ascii="GHEA Grapalat" w:hAnsi="GHEA Grapalat" w:cs="Arial"/>
          <w:sz w:val="24"/>
          <w:szCs w:val="24"/>
          <w:lang w:val="hy-AM"/>
        </w:rPr>
        <w:t>, ինչպես նաև</w:t>
      </w:r>
      <w:r w:rsidR="00EE1A90">
        <w:rPr>
          <w:rFonts w:ascii="GHEA Grapalat" w:hAnsi="GHEA Grapalat" w:cs="Arial"/>
          <w:sz w:val="24"/>
          <w:szCs w:val="24"/>
          <w:lang w:val="hy-AM"/>
        </w:rPr>
        <w:t xml:space="preserve"> պարբերական </w:t>
      </w:r>
      <w:bookmarkEnd w:id="22"/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խախտումների համար </w:t>
      </w:r>
      <w:r w:rsidR="00F97768" w:rsidRPr="00A22DC6">
        <w:rPr>
          <w:rFonts w:ascii="GHEA Grapalat" w:hAnsi="GHEA Grapalat" w:cs="Arial"/>
          <w:sz w:val="24"/>
          <w:szCs w:val="24"/>
          <w:lang w:val="hy-AM"/>
        </w:rPr>
        <w:t>կ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սահմանվեն </w:t>
      </w:r>
      <w:r w:rsidR="008A2272">
        <w:rPr>
          <w:rFonts w:ascii="GHEA Grapalat" w:hAnsi="GHEA Grapalat" w:cs="Arial"/>
          <w:sz w:val="24"/>
          <w:szCs w:val="24"/>
          <w:lang w:val="hy-AM"/>
        </w:rPr>
        <w:t>պատասխանատվության միջոցներ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 ինչպես բժշկական կազմակերպությունների, այնպես էլ բժիշկների համար՝ ընդհուպ մինչև պայմանագրի լուծարում կամ լիցենզիայից զրկելու համար դիմում ԱՆ։</w:t>
      </w:r>
    </w:p>
    <w:p w14:paraId="129E3B9E" w14:textId="2AAAE37A" w:rsidR="00F02F7D" w:rsidRPr="00A22DC6" w:rsidRDefault="00F02F7D" w:rsidP="00A22DC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Ծառայություների դիմաց փոխհատուցման տեխնիկական չափանիշները և նորմատիվային ծախսերը </w:t>
      </w:r>
      <w:r w:rsidR="00F97768" w:rsidRPr="00A22DC6">
        <w:rPr>
          <w:rFonts w:ascii="GHEA Grapalat" w:hAnsi="GHEA Grapalat" w:cs="Arial"/>
          <w:sz w:val="24"/>
          <w:szCs w:val="24"/>
          <w:lang w:val="hy-AM"/>
        </w:rPr>
        <w:t>կ</w:t>
      </w:r>
      <w:r w:rsidRPr="00A22DC6">
        <w:rPr>
          <w:rFonts w:ascii="GHEA Grapalat" w:hAnsi="GHEA Grapalat" w:cs="Arial"/>
          <w:sz w:val="24"/>
          <w:szCs w:val="24"/>
          <w:lang w:val="hy-AM"/>
        </w:rPr>
        <w:t>զուգակցվեն ծառայությունների որակի պահանջների հետ։ Այդ տեսանկյունից կարևորվում է ԱՆ կողմից</w:t>
      </w:r>
      <w:r w:rsidR="00957CF9" w:rsidRPr="00A22DC6">
        <w:rPr>
          <w:rFonts w:ascii="GHEA Grapalat" w:hAnsi="GHEA Grapalat" w:cs="Arial"/>
          <w:sz w:val="24"/>
          <w:szCs w:val="24"/>
          <w:lang w:val="hy-AM"/>
        </w:rPr>
        <w:t xml:space="preserve"> գործելակարգերի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 և նորմատիվների հաստատումը, կիրառման ապահովումը և հետագա բարելավումները։ Որպես հիմնական կիրարկող կառույց կարող է հանդես գալ Հիմնադրամը, որը կիրականացնի դրանց պրակտիկ կիրառման մշտադիտարկում, ծախս-արդյունավետության փորձարկում և տվյալներ կտրամադրի </w:t>
      </w:r>
      <w:r w:rsidR="009E4A73">
        <w:rPr>
          <w:rFonts w:ascii="GHEA Grapalat" w:hAnsi="GHEA Grapalat" w:cs="Arial"/>
          <w:sz w:val="24"/>
          <w:szCs w:val="24"/>
          <w:lang w:val="hy-AM"/>
        </w:rPr>
        <w:t xml:space="preserve">Հիմնադրամի 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խորհրդին՝ հետագա բարելավումների համար։ Բացի դա, հիմնադրամը կարող է գոյություն ունեցող կլինիկական ուղեցույցների կամ նորմատիվների հիման վրա մշակել սահմանափակ ռեսուրսների պայմաններում կիրառելի </w:t>
      </w:r>
      <w:r w:rsidR="00957CF9" w:rsidRPr="00A22DC6">
        <w:rPr>
          <w:rFonts w:ascii="GHEA Grapalat" w:hAnsi="GHEA Grapalat" w:cs="Arial"/>
          <w:sz w:val="24"/>
          <w:szCs w:val="24"/>
          <w:lang w:val="hy-AM"/>
        </w:rPr>
        <w:t>գործելակարգեր</w:t>
      </w:r>
      <w:r w:rsidRPr="00A22DC6">
        <w:rPr>
          <w:rFonts w:ascii="GHEA Grapalat" w:hAnsi="GHEA Grapalat" w:cs="Arial"/>
          <w:sz w:val="24"/>
          <w:szCs w:val="24"/>
          <w:lang w:val="hy-AM"/>
        </w:rPr>
        <w:t>, որոնք կօգտագործվեն դեպքերի փոխհատուցման ժամանակ։</w:t>
      </w:r>
    </w:p>
    <w:p w14:paraId="7E6941B8" w14:textId="270B1BAB" w:rsidR="00ED3A52" w:rsidRDefault="00ED3A52" w:rsidP="00F02F7D">
      <w:pPr>
        <w:spacing w:after="0" w:line="276" w:lineRule="auto"/>
        <w:ind w:left="-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A3C7FE8" w14:textId="270F1732" w:rsidR="00ED3A52" w:rsidRPr="007D1E2A" w:rsidRDefault="00ED3A52" w:rsidP="00A22DC6">
      <w:pPr>
        <w:pStyle w:val="Heading1"/>
        <w:numPr>
          <w:ilvl w:val="0"/>
          <w:numId w:val="17"/>
        </w:numPr>
        <w:spacing w:before="0" w:line="276" w:lineRule="auto"/>
        <w:rPr>
          <w:rFonts w:ascii="GHEA Grapalat" w:eastAsia="Times New Roman" w:hAnsi="GHEA Grapalat" w:cs="Arial"/>
          <w:iCs/>
          <w:sz w:val="24"/>
          <w:szCs w:val="24"/>
          <w:lang w:val="hy-AM"/>
        </w:rPr>
      </w:pPr>
      <w:bookmarkStart w:id="23" w:name="_Toc122522088"/>
      <w:r w:rsidRPr="007D1E2A">
        <w:rPr>
          <w:rFonts w:ascii="GHEA Grapalat" w:eastAsia="Times New Roman" w:hAnsi="GHEA Grapalat" w:cs="Arial"/>
          <w:iCs/>
          <w:sz w:val="24"/>
          <w:szCs w:val="24"/>
          <w:lang w:val="hy-AM"/>
        </w:rPr>
        <w:t>ԱՀԱ ֆինանսական կայունությունը</w:t>
      </w:r>
      <w:bookmarkEnd w:id="23"/>
    </w:p>
    <w:p w14:paraId="4A7212E9" w14:textId="7137A908" w:rsidR="005233EE" w:rsidRPr="00A22DC6" w:rsidRDefault="00B60E85" w:rsidP="00A22DC6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9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ԱՀԱ-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ի ներդրման փորձարկման փուլից սկսած Կառավարությունը կապահովի պետական բյուջեից </w:t>
      </w:r>
      <w:r w:rsidR="00087A6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հատկացվող ֆինանսական միջոցների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91797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աստիճանական 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ավելացում՝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ԱՀԱ-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 վերջնական ներդրման տար</w:t>
      </w:r>
      <w:r w:rsidR="0091797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</w:t>
      </w:r>
      <w:r w:rsidR="0064433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644337" w:rsidRPr="00A16E7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(2027</w:t>
      </w:r>
      <w:r w:rsidR="0064433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թ</w:t>
      </w:r>
      <w:r w:rsidR="00644337" w:rsidRPr="00A16E7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)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91797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և հաջորդ տարիների համար 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ապահովելով պետական բյուջեի ծախսերի առնվազն </w:t>
      </w:r>
      <w:r w:rsidR="005233EE" w:rsidRPr="00A16E7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15%</w:t>
      </w:r>
      <w:r w:rsidR="00644337" w:rsidRPr="00A16E7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64433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կամ ՀՆԱ-ում նվազագույնը </w:t>
      </w:r>
      <w:r w:rsidR="00644337" w:rsidRPr="00A16E7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4%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չափաբաժին։  </w:t>
      </w:r>
    </w:p>
    <w:p w14:paraId="7596F161" w14:textId="77777777" w:rsidR="00A22DC6" w:rsidRDefault="005233EE" w:rsidP="00A22DC6">
      <w:pPr>
        <w:shd w:val="clear" w:color="auto" w:fill="FFFFFF"/>
        <w:tabs>
          <w:tab w:val="left" w:pos="0"/>
          <w:tab w:val="left" w:pos="90"/>
        </w:tabs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233E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Հիմնադրամի ֆինանսական հոսքերը կապահովվեն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ամսեկան</w:t>
      </w:r>
      <w:r w:rsidRPr="005233E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կտրվածքով՝ պետական բյուջեի միջոցների հաշվին, Հիմնադրամի գանձապետական հաշվեհամարին կատարվող փոխանցումների միջոցով:</w:t>
      </w:r>
    </w:p>
    <w:p w14:paraId="6E03BEB8" w14:textId="080131D6" w:rsidR="00ED3A52" w:rsidRPr="00A22DC6" w:rsidRDefault="00ED3A52" w:rsidP="00A22DC6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>Կառավարությունը կքննարկի Հիմնադրամի տարեկան բյուջեի նախագիծը հիմնական ֆինանսական ցուցանիշների մակարդակով, ինչպես օրինակ պլանավորված եկամուտներն ու ծախսերը, նախատեսվող դեֆիցիտը կամ ավելցուկը, վարչական ծախսերի տեսակարար կշիռը և այլն, և որպես պետական բյուջեի բաղկացուցիչ մաս այն կներկայացնի Ազգային ժողովի հաստատմանը:</w:t>
      </w:r>
    </w:p>
    <w:p w14:paraId="20B89813" w14:textId="724C23AE" w:rsidR="00ED3A52" w:rsidRPr="00A22DC6" w:rsidRDefault="00ED3A52" w:rsidP="00A22DC6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9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Հիմնադրամը՝ յուրաքանչյուր բյուջետային տարվա համար, </w:t>
      </w:r>
      <w:r w:rsidR="00DC450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Կառավարության որոշմամբ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հաստատված մեթոդաբանության հիման վրա, կհաշվարկի 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մեկ </w:t>
      </w:r>
      <w:r w:rsidR="00312731" w:rsidRPr="00A22DC6">
        <w:rPr>
          <w:rFonts w:ascii="GHEA Grapalat" w:hAnsi="GHEA Grapalat" w:cs="Arial"/>
          <w:sz w:val="24"/>
          <w:szCs w:val="24"/>
          <w:lang w:val="hy-AM"/>
        </w:rPr>
        <w:t>շահառուի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 հաշվով </w:t>
      </w:r>
      <w:r w:rsidR="00312731" w:rsidRPr="00A22DC6">
        <w:rPr>
          <w:rFonts w:ascii="GHEA Grapalat" w:hAnsi="GHEA Grapalat" w:cs="Arial"/>
          <w:sz w:val="24"/>
          <w:szCs w:val="24"/>
          <w:lang w:val="hy-AM"/>
        </w:rPr>
        <w:t>համաֆինանսավորման չափը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և </w:t>
      </w:r>
      <w:r w:rsidR="00DC450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Ծածկույթի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ծախսերը, կհամադրի պլանային եկամուտների հետ և ԱՀԱ խորհրդին կներկայացնի առաջարկություններ դեֆիցիտի լրացման աղբյուրների կամ ավելցուկի ծախսման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 xml:space="preserve">ուղղությունների վերաբերյալ: Հիմնադրամի կողմից կներկայացվեն նաև միջին ժամկետ և երկարաժամկետ ծախսերի և եկամուտների գնահատականներ: </w:t>
      </w:r>
      <w:r w:rsidR="005233EE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Ներդրման յուրաքանչյուր տ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արվա ընթացքում, սկսած երրորդ եռամսյակից, Հիմնադրամը խորհրդին պետք է ներկայացնի ընթացիկ տարվա ֆինանսական ցուցանիշները, ավելցուկի կամ դեֆիցիտի չափը, ինչպես նաև առաջարկություններ ծառայությունների փաթեթի ընդլայնման կամ սահմանափակումների կիրարկման վերաբերյալ: </w:t>
      </w:r>
    </w:p>
    <w:p w14:paraId="64AED4DC" w14:textId="6F522862" w:rsidR="00ED3A52" w:rsidRDefault="00ED3A52" w:rsidP="00A22DC6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9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Յուրաքանչյուր տարվա համար ԱՀԱ գործադիր տնօրենը կհաշվարկի Հիմնադրամի վարչական ծախսերը և կներկայացնի կառավարման խորհրդի հաստատմանը:</w:t>
      </w:r>
    </w:p>
    <w:p w14:paraId="2ADEBE12" w14:textId="4CE35F35" w:rsidR="00ED3A52" w:rsidRPr="00A22DC6" w:rsidRDefault="00ED3A52" w:rsidP="00A22DC6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9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Ապահովագրության ներդրումը բժշկական կազմակերպությունների կողմից կարող է դիտվել որպես լրացուցիչ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միջոցներ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ներգրավելու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աղբյուր՝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իրականում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ծառայություններ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մատուցելու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դրանց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դիմաց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փոխհատուցում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ստանալու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միջոցով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: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Այս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երևույթը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հայտնի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որպես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անբարեխղճության ռիսկ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: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Նման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ռիսկերի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մեղմման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նպատակով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կիրառվեն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փոխհատուցման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մեխանիզմներ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կսահմանափակեն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կազմակերպությունների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ապահովագրվածներին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ծառայությունների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մատուցումը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: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Մյուս կողմից, շահառուների համար կկիրառվեն խրախուսման մեխանիզմներ՝ ծառայությունների քիչ սպառման համար։ Կկիրառվեն նաև կանխարգելիչ հետազոտությունների պարտադիր անցկացման դեպքում փաթեթի ակտիվացման մեխանիզմներ, ինչպես նաև քրոնիկ </w:t>
      </w:r>
      <w:r w:rsidR="009E4A7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իվանդությունների դեպքում դրանց դինամիկ հսկման ապահովման պարտադիր պայմաններ։ Ներդրված կ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լինիկական ուղեցույցների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 գործելակարգերի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և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ծախսերի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նորմատիվների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 կապված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առաջացող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սահմանափակումները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 է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 օգնության և սպասարկման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մատչելիության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բարձրացմանը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և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կրե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սուբյեկտիվ՝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փորձագիտական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մակարդակի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 զուտ ֆինանսական սահմանափակման բնույթ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: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Նմանատիպ ռիսկերի մեղմման նպատակով որոշ ծառայությունների և բնակչության որոշ խմբերի համար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հատուցումների ծավալների սահմանափակումները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կարող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արդյունավետ լինել։ Բացի դա, ԱՀԱ ներդրման առնվազն սկզբնական ժամանակահատվածում կկիրառվի բժշկական կազմակերպությունների կողմից մատուցվող ծառայությունների դիմաց փոխհատուցման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պայմանագրային </w:t>
      </w:r>
      <w:r w:rsidR="009E4A7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առավելագույն </w:t>
      </w:r>
      <w:r w:rsidR="00682F1D"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գումարի կիրառման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սկզբունքը, որը կզուգակցվի որակի գնահատման ցուցանիշների և կատարողականի ընթացիկ վերլուծությունների մեխանիզմներով և կհանդիսանա իրականում ոչ անհրաժեշտ ծառայություններ մատուցելու գայթակղության զսպման մեխանիզմ:</w:t>
      </w:r>
    </w:p>
    <w:p w14:paraId="3E2E7E39" w14:textId="39E88454" w:rsidR="00ED3A52" w:rsidRPr="00A22DC6" w:rsidRDefault="00ED3A52" w:rsidP="00A22DC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Կանխատեսվում է, որ </w:t>
      </w:r>
      <w:r w:rsidR="00B60E8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ԱՀԱ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ներդրման սկզբում՝ 1-2 տարիների ընթացքում հնարավոր է ծառայությունների ծավալների աճ, որոնք պայմանավորված են նախկինում որոշակի առողջական խնդիրներ ունեցող, սակայն բժշկի չդիմած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>շահառուների դիմելիությա</w:t>
      </w:r>
      <w:r w:rsidR="009E4A7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 աճով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: Այդ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ռիսկերը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տնային տնտեսությունների հետազոտությունների 2019 թվականի ամփոփ արդյունքների համաձայն կազմում են հարցվածների 71.7%-ը, պայմանավորված են ԱԱՊ ծառայություններից օգտվելու համար չդիմելու հիմնական պատճառներով՝ ինքնաբուժմամբ զբաղվելով (59,1%) և ֆինանսական խոչընդոտներով (12,6%): Հետևաբար, ապահովագրավճարների հաշվարկման դեպքում պետք է հաշվի առնել դիմելիության աճի հնարավոր ռիսկը:</w:t>
      </w:r>
    </w:p>
    <w:p w14:paraId="5B61D20C" w14:textId="77777777" w:rsidR="00F02F7D" w:rsidRPr="00D5300C" w:rsidRDefault="00F02F7D" w:rsidP="00F02F7D">
      <w:p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2C3F24C" w14:textId="2A17D1E9" w:rsidR="00F02F7D" w:rsidRPr="007D1E2A" w:rsidRDefault="00F02F7D" w:rsidP="00A22DC6">
      <w:pPr>
        <w:pStyle w:val="Heading1"/>
        <w:numPr>
          <w:ilvl w:val="0"/>
          <w:numId w:val="17"/>
        </w:numPr>
        <w:spacing w:line="276" w:lineRule="auto"/>
        <w:rPr>
          <w:rFonts w:ascii="GHEA Grapalat" w:hAnsi="GHEA Grapalat" w:cs="Arial"/>
          <w:iCs/>
          <w:sz w:val="24"/>
          <w:szCs w:val="24"/>
          <w:lang w:val="hy-AM"/>
        </w:rPr>
      </w:pPr>
      <w:bookmarkStart w:id="24" w:name="_Toc122522089"/>
      <w:r w:rsidRPr="007D1E2A">
        <w:rPr>
          <w:rFonts w:ascii="GHEA Grapalat" w:hAnsi="GHEA Grapalat" w:cs="Arial"/>
          <w:iCs/>
          <w:sz w:val="24"/>
          <w:szCs w:val="24"/>
          <w:lang w:val="hy-AM"/>
        </w:rPr>
        <w:t>Հաշվետվողականություն, մոնիտորինգ և վերահսկում</w:t>
      </w:r>
      <w:bookmarkEnd w:id="24"/>
    </w:p>
    <w:p w14:paraId="42332294" w14:textId="58A255B8" w:rsidR="00F02F7D" w:rsidRPr="00A22DC6" w:rsidRDefault="00B60E85" w:rsidP="00A22DC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ԱՀԱ-</w:t>
      </w:r>
      <w:r w:rsidR="009E4A73">
        <w:rPr>
          <w:rFonts w:ascii="GHEA Grapalat" w:hAnsi="GHEA Grapalat" w:cs="Arial"/>
          <w:sz w:val="24"/>
          <w:szCs w:val="24"/>
          <w:lang w:val="hy-AM"/>
        </w:rPr>
        <w:t>ն</w:t>
      </w:r>
      <w:r w:rsidR="00F02F7D" w:rsidRPr="00A22DC6">
        <w:rPr>
          <w:rFonts w:ascii="GHEA Grapalat" w:hAnsi="GHEA Grapalat" w:cs="Arial"/>
          <w:sz w:val="24"/>
          <w:szCs w:val="24"/>
          <w:lang w:val="hy-AM"/>
        </w:rPr>
        <w:t xml:space="preserve"> հնարավորություն կտա ապահովել բժշկական օգնության և սպասարկման մատուցման և փոխհատուցման համադրելի տվյալների ստացումը, որոնք հիմք կհանդիսանան ապահովագրության գործընթացի թափանցիկ իրականացման համար։ Այդ առումով, պետք է հաստատվեն ֆինանսական և ոչ ֆինանսական տվյալներ պարունակող հաշվետվությունների ստանդարտ ձևաչափեր.</w:t>
      </w:r>
    </w:p>
    <w:p w14:paraId="3EC260DB" w14:textId="77777777" w:rsidR="00F02F7D" w:rsidRPr="000F0C1A" w:rsidRDefault="00F02F7D" w:rsidP="000F0C1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0C1A">
        <w:rPr>
          <w:rFonts w:ascii="GHEA Grapalat" w:hAnsi="GHEA Grapalat" w:cs="Arial"/>
          <w:sz w:val="24"/>
          <w:szCs w:val="24"/>
          <w:lang w:val="hy-AM"/>
        </w:rPr>
        <w:t>արտաքին օգտագործողների համար՝ Կառավարություն, Վարչապետ, Ազգային ժողով.</w:t>
      </w:r>
    </w:p>
    <w:p w14:paraId="420A8A46" w14:textId="66BF5540" w:rsidR="00F02F7D" w:rsidRPr="000F0C1A" w:rsidRDefault="00F02F7D" w:rsidP="000F0C1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0C1A">
        <w:rPr>
          <w:rFonts w:ascii="GHEA Grapalat" w:hAnsi="GHEA Grapalat" w:cs="Arial"/>
          <w:sz w:val="24"/>
          <w:szCs w:val="24"/>
          <w:lang w:val="hy-AM"/>
        </w:rPr>
        <w:t>ԱՀԱ կառավարման համար՝ Հիմնադրամի կառավարման խորհուրդ.</w:t>
      </w:r>
    </w:p>
    <w:p w14:paraId="29677BAB" w14:textId="77777777" w:rsidR="00F02F7D" w:rsidRPr="000F0C1A" w:rsidRDefault="00F02F7D" w:rsidP="000F0C1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0C1A">
        <w:rPr>
          <w:rFonts w:ascii="GHEA Grapalat" w:hAnsi="GHEA Grapalat" w:cs="Arial"/>
          <w:sz w:val="24"/>
          <w:szCs w:val="24"/>
          <w:lang w:val="hy-AM"/>
        </w:rPr>
        <w:t>ներքին օգտագործման համար՝ Հիմնադրամի կառուցվածքային ստորաբաժանումներ, տնօրինություն.</w:t>
      </w:r>
    </w:p>
    <w:p w14:paraId="0200199B" w14:textId="77777777" w:rsidR="00F02F7D" w:rsidRPr="000F0C1A" w:rsidRDefault="00F02F7D" w:rsidP="000F0C1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0C1A">
        <w:rPr>
          <w:rFonts w:ascii="GHEA Grapalat" w:hAnsi="GHEA Grapalat" w:cs="Arial"/>
          <w:sz w:val="24"/>
          <w:szCs w:val="24"/>
          <w:lang w:val="hy-AM"/>
        </w:rPr>
        <w:t>հանրային հաշվետվություններ։</w:t>
      </w:r>
    </w:p>
    <w:p w14:paraId="1CB926E0" w14:textId="77777777" w:rsidR="00A22DC6" w:rsidRP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Հիմնադրամի կողմից պարբերաբար հրապարակվող տվյալների և հաշվետվությունների ձևերը, կառուցվածքն ու բովանդակությունը նախօրոք պետք է հաստատվեն կառավարման խորհրդի կողմից:</w:t>
      </w:r>
    </w:p>
    <w:p w14:paraId="47CCA2EB" w14:textId="77777777" w:rsid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>Հաշվետվություններում պետք է ընդգրկվեն այն բոլոր ցուցանիշները, որոնք կարող են արտացոլել ԱՀԱ կարճաժամկետ նպատակների իրականացումը, ինչպես նաև գնահատել այդ ընթացքում իրականացվող միջոցառումների արդյունքները։</w:t>
      </w:r>
    </w:p>
    <w:p w14:paraId="45FFA91F" w14:textId="77777777" w:rsid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>Ներքին օգտագործման համար կարող են կիրառվել հաշվետվությունների ոչ ստանդարտ ձևաչափեր, որոնք ունակ կլինեն տվյալներ տրամադրել ֆինանսական հոսքերի օպտիմալ կառավարման, բժշկական կազմակերպությունների կատարողականների և բժշկական օգնության և սպասարկման որակի ընթացիկ վերահսկման նպատակով։</w:t>
      </w:r>
    </w:p>
    <w:p w14:paraId="7ACE4BD5" w14:textId="77777777" w:rsid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Պետք է մշակվեն մշտադիտարկման իրականացման կանոնակարգեր, կազմվեն անհրաժեշտ տվյալների ցանկերը, որոնք պետք է համադրվեն ծառայությունների վերահսկման նպատակով։ Բժշկական կազմակերպություններից կարող են պահանջվել ոչ միայն ստանդարտ հաշվետվություններ, որոնք կօգտագործվեն ծառայությունների դիմաց ֆինանսավորման նպատակով, այլև այլ տվյալներ, որոնք կբնութագրեն ծառայությունների համար կատարված ծախսերը և </w:t>
      </w:r>
      <w:r w:rsidRPr="00A22DC6">
        <w:rPr>
          <w:rFonts w:ascii="GHEA Grapalat" w:hAnsi="GHEA Grapalat" w:cs="Arial"/>
          <w:sz w:val="24"/>
          <w:szCs w:val="24"/>
          <w:lang w:val="hy-AM"/>
        </w:rPr>
        <w:lastRenderedPageBreak/>
        <w:t>բժշկական օգնության և սպասարկման որակը, ծառայությունների համար սահմանված տեխնիկական չափանիշների ապահովումը։</w:t>
      </w:r>
    </w:p>
    <w:p w14:paraId="721E5BE7" w14:textId="77777777" w:rsidR="00A22DC6" w:rsidRDefault="00F02F7D" w:rsidP="009464AE">
      <w:pPr>
        <w:pStyle w:val="ListParagraph"/>
        <w:numPr>
          <w:ilvl w:val="0"/>
          <w:numId w:val="4"/>
        </w:numPr>
        <w:tabs>
          <w:tab w:val="left" w:pos="90"/>
          <w:tab w:val="left" w:pos="360"/>
          <w:tab w:val="left" w:pos="54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>Ապահովագրված անձանց նույնականացման նպատակով օրենքով կամ կառավարության որոշումներով կսահմանվեն տարբեր գերատեսչությունների կողմից Հիմնադրամին ներկայացվող տվյալների շտեմարանների ցանկերը, դրանց տրամադրման հաճախականությունը, ձևաչափը։</w:t>
      </w:r>
    </w:p>
    <w:p w14:paraId="46CE697C" w14:textId="20BB853C" w:rsid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Հիմնադրամի կառուցվածքում </w:t>
      </w:r>
      <w:r w:rsidR="000F0C1A" w:rsidRPr="00A22DC6">
        <w:rPr>
          <w:rFonts w:ascii="GHEA Grapalat" w:hAnsi="GHEA Grapalat" w:cs="Arial"/>
          <w:sz w:val="24"/>
          <w:szCs w:val="24"/>
          <w:lang w:val="hy-AM"/>
        </w:rPr>
        <w:t>կլինի</w:t>
      </w:r>
      <w:r w:rsidRPr="00A22DC6">
        <w:rPr>
          <w:rFonts w:ascii="GHEA Grapalat" w:hAnsi="GHEA Grapalat" w:cs="Arial"/>
          <w:sz w:val="24"/>
          <w:szCs w:val="24"/>
          <w:lang w:val="hy-AM"/>
        </w:rPr>
        <w:t xml:space="preserve"> ներքին աուդիտի</w:t>
      </w:r>
      <w:r w:rsidR="00ED3A52" w:rsidRPr="00A16E7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22DC6">
        <w:rPr>
          <w:rFonts w:ascii="GHEA Grapalat" w:hAnsi="GHEA Grapalat" w:cs="Arial"/>
          <w:sz w:val="24"/>
          <w:szCs w:val="24"/>
          <w:lang w:val="hy-AM"/>
        </w:rPr>
        <w:t>ստորաբաժանում, որի անդամները կնշանակվեն անմիջականորեն խորհրդի կողմից: Այդ ստորաբաժանումը, այլ գործառույ</w:t>
      </w:r>
      <w:r w:rsidR="009E4A73">
        <w:rPr>
          <w:rFonts w:ascii="GHEA Grapalat" w:hAnsi="GHEA Grapalat" w:cs="Arial"/>
          <w:sz w:val="24"/>
          <w:szCs w:val="24"/>
          <w:lang w:val="hy-AM"/>
        </w:rPr>
        <w:t>թ</w:t>
      </w:r>
      <w:r w:rsidRPr="00A22DC6">
        <w:rPr>
          <w:rFonts w:ascii="GHEA Grapalat" w:hAnsi="GHEA Grapalat" w:cs="Arial"/>
          <w:sz w:val="24"/>
          <w:szCs w:val="24"/>
          <w:lang w:val="hy-AM"/>
        </w:rPr>
        <w:t>ների հետ մեկտեղ, պատասխանատու կլինի նաև կառույցի կողմից բժշկական կազմակերպությունների հետ կնքված պայմանագրերի կատարողականների վերահսկման համար, որոնց արդյունքների վերաբերյալ պարբերաբար կզեկուցի խորհրդին: Հիմնադրամի աշխատանքների գնահատումը կիրականացվի ԱՀԱ խորհրդի կողմից հաստատված արդյունքային ցուցանիշների հիման վրա, որոնց մշակման և գնահատման մեթոդաբանությունը կհաստատվի խորհրդի կողմից:</w:t>
      </w:r>
    </w:p>
    <w:p w14:paraId="1DD5BE8F" w14:textId="77777777" w:rsidR="00A22DC6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hAnsi="GHEA Grapalat" w:cs="Arial"/>
          <w:sz w:val="24"/>
          <w:szCs w:val="24"/>
          <w:lang w:val="hy-AM"/>
        </w:rPr>
        <w:t>Հիմնադրամը կունենա արտաքին աուդիտ: Հաշվեքննիչ պալատը կիրականացնի բյուջեի կատարողականի գնահատում, իսկ միջազգային հեղինակավոր աուդիտորական կազմակերպության կողմից կիրականացվի Հիմնադրամի ֆինանսական աուդիտ:</w:t>
      </w:r>
    </w:p>
    <w:p w14:paraId="2A784EDC" w14:textId="42240D19" w:rsidR="00F02F7D" w:rsidRPr="009464AE" w:rsidRDefault="00F02F7D" w:rsidP="00A22DC6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DC6">
        <w:rPr>
          <w:rFonts w:ascii="GHEA Grapalat" w:eastAsia="GHEA Grapalat" w:hAnsi="GHEA Grapalat" w:cs="Arial"/>
          <w:sz w:val="24"/>
          <w:szCs w:val="24"/>
          <w:lang w:val="hy-AM"/>
        </w:rPr>
        <w:t xml:space="preserve">Հիմնադրամը պարբերաբար, առնվազն եռամյա կտրվածքով, կներկայացնի տեղեկատվություն ԱՀԱ ներդրման նպատակի և միջոցառումների արդյունքային  ցուցանիշների համախմբում ներկայացված արդյունքների </w:t>
      </w:r>
      <w:r w:rsidRPr="0093499B">
        <w:rPr>
          <w:rFonts w:ascii="GHEA Grapalat" w:eastAsia="GHEA Grapalat" w:hAnsi="GHEA Grapalat" w:cs="Arial"/>
          <w:sz w:val="24"/>
          <w:szCs w:val="24"/>
          <w:lang w:val="hy-AM"/>
        </w:rPr>
        <w:t>վերաբերյալ (</w:t>
      </w:r>
      <w:r w:rsidR="007D1E2A" w:rsidRPr="0093499B">
        <w:rPr>
          <w:rFonts w:ascii="GHEA Grapalat" w:eastAsia="GHEA Grapalat" w:hAnsi="GHEA Grapalat" w:cs="Arial"/>
          <w:sz w:val="24"/>
          <w:szCs w:val="24"/>
          <w:lang w:val="hy-AM"/>
        </w:rPr>
        <w:t>Հավելված</w:t>
      </w:r>
      <w:r w:rsidRPr="0093499B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93499B" w:rsidRPr="00A16E77">
        <w:rPr>
          <w:rFonts w:ascii="GHEA Grapalat" w:eastAsia="GHEA Grapalat" w:hAnsi="GHEA Grapalat" w:cs="Arial"/>
          <w:sz w:val="24"/>
          <w:szCs w:val="24"/>
          <w:lang w:val="hy-AM"/>
        </w:rPr>
        <w:t>4</w:t>
      </w:r>
      <w:r w:rsidRPr="0093499B">
        <w:rPr>
          <w:rFonts w:ascii="GHEA Grapalat" w:eastAsia="GHEA Grapalat" w:hAnsi="GHEA Grapalat" w:cs="Arial"/>
          <w:sz w:val="24"/>
          <w:szCs w:val="24"/>
          <w:lang w:val="hy-AM"/>
        </w:rPr>
        <w:t>-ը),</w:t>
      </w:r>
      <w:r w:rsidRPr="00A22DC6">
        <w:rPr>
          <w:rFonts w:ascii="GHEA Grapalat" w:eastAsia="GHEA Grapalat" w:hAnsi="GHEA Grapalat" w:cs="Arial"/>
          <w:sz w:val="24"/>
          <w:szCs w:val="24"/>
          <w:lang w:val="hy-AM"/>
        </w:rPr>
        <w:t xml:space="preserve"> որոնք հիմք կհանդիսանան ԱՀԱ գործունեության գնահատումն իրականացնելու համար:</w:t>
      </w:r>
    </w:p>
    <w:p w14:paraId="5CAD40BF" w14:textId="62617AF8" w:rsidR="009464AE" w:rsidRPr="00D5300C" w:rsidRDefault="007D1E2A" w:rsidP="009464AE">
      <w:pPr>
        <w:pStyle w:val="Heading1"/>
        <w:numPr>
          <w:ilvl w:val="0"/>
          <w:numId w:val="17"/>
        </w:numPr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bookmarkStart w:id="25" w:name="_Toc89617820"/>
      <w:bookmarkStart w:id="26" w:name="_Toc122522090"/>
      <w:r w:rsidRPr="00D5300C">
        <w:rPr>
          <w:rFonts w:ascii="GHEA Grapalat" w:hAnsi="GHEA Grapalat" w:cs="Arial"/>
          <w:sz w:val="24"/>
          <w:szCs w:val="24"/>
          <w:lang w:val="hy-AM"/>
        </w:rPr>
        <w:t>Ա</w:t>
      </w:r>
      <w:bookmarkEnd w:id="25"/>
      <w:r w:rsidR="004730D4">
        <w:rPr>
          <w:rFonts w:ascii="GHEA Grapalat" w:hAnsi="GHEA Grapalat" w:cs="Arial"/>
          <w:sz w:val="24"/>
          <w:szCs w:val="24"/>
          <w:lang w:val="hy-AM"/>
        </w:rPr>
        <w:t>ռողջապահական համակարգի պատրաստվածությունը</w:t>
      </w:r>
      <w:r w:rsidR="001F3669">
        <w:rPr>
          <w:rFonts w:ascii="GHEA Grapalat" w:hAnsi="GHEA Grapalat" w:cs="Arial"/>
          <w:sz w:val="24"/>
          <w:szCs w:val="24"/>
          <w:lang w:val="hy-AM"/>
        </w:rPr>
        <w:t xml:space="preserve"> ԱՀԱ ներդրմանը</w:t>
      </w:r>
      <w:bookmarkEnd w:id="26"/>
    </w:p>
    <w:p w14:paraId="54AD091C" w14:textId="2DB9FE5D" w:rsidR="00C91CF1" w:rsidRPr="00C91CF1" w:rsidRDefault="009464AE" w:rsidP="00C91CF1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ԱՀԱ ներդրման պայմանները ուղղակիորեն </w:t>
      </w:r>
      <w:r w:rsidR="00CD41F7" w:rsidRPr="00C91CF1">
        <w:rPr>
          <w:rFonts w:ascii="GHEA Grapalat" w:eastAsia="GHEA Grapalat" w:hAnsi="GHEA Grapalat" w:cs="Arial"/>
          <w:sz w:val="24"/>
          <w:szCs w:val="24"/>
          <w:lang w:val="hy-AM"/>
        </w:rPr>
        <w:t>կապված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 են առողջապահության հիմնական </w:t>
      </w:r>
      <w:r w:rsidR="00CD41F7" w:rsidRPr="00C91CF1">
        <w:rPr>
          <w:rFonts w:ascii="GHEA Grapalat" w:eastAsia="GHEA Grapalat" w:hAnsi="GHEA Grapalat" w:cs="Arial"/>
          <w:sz w:val="24"/>
          <w:szCs w:val="24"/>
          <w:lang w:val="hy-AM"/>
        </w:rPr>
        <w:t>գործառույթների իրականացման հետ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: Տարիների ընթացքում ձևավորված խնդիրները, որոնք բերել են առողջապահության </w:t>
      </w:r>
      <w:r w:rsidR="006471D9">
        <w:rPr>
          <w:rFonts w:ascii="GHEA Grapalat" w:eastAsia="GHEA Grapalat" w:hAnsi="GHEA Grapalat" w:cs="Arial"/>
          <w:sz w:val="24"/>
          <w:szCs w:val="24"/>
          <w:lang w:val="hy-AM"/>
        </w:rPr>
        <w:t>համակարգ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ի կառավարման, </w:t>
      </w:r>
      <w:r w:rsidR="00CD41F7" w:rsidRPr="00C91CF1">
        <w:rPr>
          <w:rFonts w:ascii="GHEA Grapalat" w:eastAsia="GHEA Grapalat" w:hAnsi="GHEA Grapalat" w:cs="Arial"/>
          <w:sz w:val="24"/>
          <w:szCs w:val="24"/>
          <w:lang w:val="hy-AM"/>
        </w:rPr>
        <w:t>առողջության առաջնային պահպանման օղակի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, դեղորայքային քաղաքականության, տեղեկատվական </w:t>
      </w:r>
      <w:r w:rsidR="006471D9">
        <w:rPr>
          <w:rFonts w:ascii="GHEA Grapalat" w:eastAsia="GHEA Grapalat" w:hAnsi="GHEA Grapalat" w:cs="Arial"/>
          <w:sz w:val="24"/>
          <w:szCs w:val="24"/>
          <w:lang w:val="hy-AM"/>
        </w:rPr>
        <w:t>համակարգ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երի, կադրերով ապահովման գործառույթների արդյունավետության նվազեցման, պետք է իրենց առաջնահերթ լուծումները ստանան ապահովագրական </w:t>
      </w:r>
      <w:r w:rsidR="006471D9">
        <w:rPr>
          <w:rFonts w:ascii="GHEA Grapalat" w:eastAsia="GHEA Grapalat" w:hAnsi="GHEA Grapalat" w:cs="Arial"/>
          <w:sz w:val="24"/>
          <w:szCs w:val="24"/>
          <w:lang w:val="hy-AM"/>
        </w:rPr>
        <w:t>համակարգ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ի ներդրումից առաջ, ինչպես նաև ներդրմանը զուգահեռ՝ առաջացող նոր հարաբերությունների պայմաններում: Ուստի ակնկալվում է, որ Հայեցակարգի ընդունումից հետո ԱՆ-ն </w:t>
      </w:r>
      <w:r w:rsidR="00AF0A75" w:rsidRPr="00C91CF1">
        <w:rPr>
          <w:rFonts w:ascii="GHEA Grapalat" w:eastAsia="GHEA Grapalat" w:hAnsi="GHEA Grapalat" w:cs="Arial"/>
          <w:sz w:val="24"/>
          <w:szCs w:val="24"/>
          <w:lang w:val="hy-AM"/>
        </w:rPr>
        <w:t>կիրականացնի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 ԱՀԱ ներդրման պայմաններն ապահովող միջոցառումներ</w:t>
      </w:r>
      <w:r w:rsidR="00AF0A75" w:rsidRPr="00C91CF1">
        <w:rPr>
          <w:rFonts w:ascii="GHEA Grapalat" w:eastAsia="GHEA Grapalat" w:hAnsi="GHEA Grapalat" w:cs="Arial"/>
          <w:sz w:val="24"/>
          <w:szCs w:val="24"/>
          <w:lang w:val="hy-AM"/>
        </w:rPr>
        <w:t>ը</w:t>
      </w:r>
      <w:r w:rsidR="00BA4F56" w:rsidRPr="00C91CF1">
        <w:rPr>
          <w:rFonts w:ascii="GHEA Grapalat" w:eastAsia="GHEA Grapalat" w:hAnsi="GHEA Grapalat" w:cs="Arial"/>
          <w:sz w:val="24"/>
          <w:szCs w:val="24"/>
          <w:lang w:val="hy-AM"/>
        </w:rPr>
        <w:t>՝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 դրանց կատարման </w:t>
      </w:r>
      <w:r w:rsidR="00AF0A75" w:rsidRPr="00C91CF1">
        <w:rPr>
          <w:rFonts w:ascii="GHEA Grapalat" w:eastAsia="GHEA Grapalat" w:hAnsi="GHEA Grapalat" w:cs="Arial"/>
          <w:sz w:val="24"/>
          <w:szCs w:val="24"/>
          <w:lang w:val="hy-AM"/>
        </w:rPr>
        <w:t xml:space="preserve">համար սահմանված 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>ժամ</w:t>
      </w:r>
      <w:r w:rsidR="00AF0A75" w:rsidRPr="00C91CF1">
        <w:rPr>
          <w:rFonts w:ascii="GHEA Grapalat" w:eastAsia="GHEA Grapalat" w:hAnsi="GHEA Grapalat" w:cs="Arial"/>
          <w:sz w:val="24"/>
          <w:szCs w:val="24"/>
          <w:lang w:val="hy-AM"/>
        </w:rPr>
        <w:t>կետներում</w:t>
      </w:r>
      <w:r w:rsidRPr="00C91CF1">
        <w:rPr>
          <w:rFonts w:ascii="GHEA Grapalat" w:eastAsia="GHEA Grapalat" w:hAnsi="GHEA Grapalat" w:cs="Arial"/>
          <w:sz w:val="24"/>
          <w:szCs w:val="24"/>
          <w:lang w:val="hy-AM"/>
        </w:rPr>
        <w:t>:</w:t>
      </w:r>
    </w:p>
    <w:p w14:paraId="3343B825" w14:textId="0A77BAFC" w:rsidR="00ED3A52" w:rsidRDefault="00113787" w:rsidP="001F4874">
      <w:pPr>
        <w:pStyle w:val="ListParagraph"/>
        <w:numPr>
          <w:ilvl w:val="0"/>
          <w:numId w:val="4"/>
        </w:numPr>
        <w:tabs>
          <w:tab w:val="left" w:pos="90"/>
        </w:tabs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9339F">
        <w:rPr>
          <w:rFonts w:ascii="GHEA Grapalat" w:hAnsi="GHEA Grapalat" w:cs="Arial"/>
          <w:sz w:val="24"/>
          <w:szCs w:val="24"/>
          <w:lang w:val="hy-AM"/>
        </w:rPr>
        <w:t xml:space="preserve">Այդ տեսանկյունից կարևորվում է ԱՆ կողմից արդեն իսկ հաստատված ԱԱՊ բարեփոխումների, բուժօգնության որակի բարելավման, առողջապահության </w:t>
      </w:r>
      <w:r w:rsidRPr="0089339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տեղեկատվական </w:t>
      </w:r>
      <w:r w:rsidR="006471D9" w:rsidRPr="0089339F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Pr="0089339F">
        <w:rPr>
          <w:rFonts w:ascii="GHEA Grapalat" w:hAnsi="GHEA Grapalat" w:cs="Arial"/>
          <w:sz w:val="24"/>
          <w:szCs w:val="24"/>
          <w:lang w:val="hy-AM"/>
        </w:rPr>
        <w:t>ի զարգացման ռազմավարությունների, ենթակառուցվածքների զարգացման ծրագրերի հետևողական իրականացումը։</w:t>
      </w:r>
    </w:p>
    <w:sectPr w:rsidR="00ED3A52" w:rsidSect="008F00C7">
      <w:footerReference w:type="default" r:id="rId8"/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EAC61" w14:textId="77777777" w:rsidR="00182AEE" w:rsidRDefault="00182AEE" w:rsidP="0064030E">
      <w:pPr>
        <w:spacing w:after="0" w:line="240" w:lineRule="auto"/>
      </w:pPr>
      <w:r>
        <w:separator/>
      </w:r>
    </w:p>
  </w:endnote>
  <w:endnote w:type="continuationSeparator" w:id="0">
    <w:p w14:paraId="0081FB50" w14:textId="77777777" w:rsidR="00182AEE" w:rsidRDefault="00182AEE" w:rsidP="0064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11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FAE9F" w14:textId="7B3DC69A" w:rsidR="0064030E" w:rsidRDefault="006403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0C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5ABE31" w14:textId="77777777" w:rsidR="0064030E" w:rsidRDefault="0064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CAFB8" w14:textId="77777777" w:rsidR="00182AEE" w:rsidRDefault="00182AEE" w:rsidP="0064030E">
      <w:pPr>
        <w:spacing w:after="0" w:line="240" w:lineRule="auto"/>
      </w:pPr>
      <w:r>
        <w:separator/>
      </w:r>
    </w:p>
  </w:footnote>
  <w:footnote w:type="continuationSeparator" w:id="0">
    <w:p w14:paraId="6C80064C" w14:textId="77777777" w:rsidR="00182AEE" w:rsidRDefault="00182AEE" w:rsidP="0064030E">
      <w:pPr>
        <w:spacing w:after="0" w:line="240" w:lineRule="auto"/>
      </w:pPr>
      <w:r>
        <w:continuationSeparator/>
      </w:r>
    </w:p>
  </w:footnote>
  <w:footnote w:id="1">
    <w:p w14:paraId="7A42F58F" w14:textId="77777777" w:rsidR="00F440D3" w:rsidRDefault="00F440D3" w:rsidP="00F440D3">
      <w:pPr>
        <w:pStyle w:val="FootnoteText"/>
        <w:spacing w:line="240" w:lineRule="auto"/>
        <w:rPr>
          <w:rFonts w:ascii="GHEA Grapalat" w:eastAsia="GHEA Grapalat" w:hAnsi="GHEA Grapalat" w:cs="Arial"/>
          <w:sz w:val="16"/>
          <w:szCs w:val="16"/>
          <w:lang w:val="hy-AM"/>
        </w:rPr>
      </w:pPr>
      <w:r w:rsidRPr="00B4703A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B4703A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4703A">
        <w:rPr>
          <w:rFonts w:ascii="GHEA Grapalat" w:eastAsia="GHEA Grapalat" w:hAnsi="GHEA Grapalat" w:cs="Arial"/>
          <w:sz w:val="16"/>
          <w:szCs w:val="16"/>
          <w:lang w:val="hy-AM"/>
        </w:rPr>
        <w:t xml:space="preserve">Ըստ ՀՀ արդարադատության նախարարության քաղաքացիական կացության գրանցումների, որոնք հանդիսանում են մահվան </w:t>
      </w:r>
    </w:p>
    <w:p w14:paraId="75D37272" w14:textId="77777777" w:rsidR="00F440D3" w:rsidRPr="00B4703A" w:rsidRDefault="00F440D3" w:rsidP="00F440D3">
      <w:pPr>
        <w:pStyle w:val="FootnoteText"/>
        <w:spacing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eastAsia="GHEA Grapalat" w:hAnsi="GHEA Grapalat" w:cs="Arial"/>
          <w:sz w:val="16"/>
          <w:szCs w:val="16"/>
          <w:lang w:val="hy-AM"/>
        </w:rPr>
        <w:t xml:space="preserve">   </w:t>
      </w:r>
      <w:r w:rsidRPr="00B4703A">
        <w:rPr>
          <w:rFonts w:ascii="GHEA Grapalat" w:eastAsia="GHEA Grapalat" w:hAnsi="GHEA Grapalat" w:cs="Arial"/>
          <w:sz w:val="16"/>
          <w:szCs w:val="16"/>
          <w:lang w:val="hy-AM"/>
        </w:rPr>
        <w:t>վերաբերյալ վիճակագրական տվյալների սկզբնաղբյուրը:</w:t>
      </w:r>
    </w:p>
  </w:footnote>
  <w:footnote w:id="2">
    <w:p w14:paraId="4BDA7739" w14:textId="73C83A4A" w:rsidR="00F440D3" w:rsidRPr="00BC278E" w:rsidRDefault="00F440D3" w:rsidP="00F440D3">
      <w:pPr>
        <w:pStyle w:val="FootnoteText"/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BC278E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BC278E">
        <w:rPr>
          <w:rFonts w:ascii="GHEA Grapalat" w:hAnsi="GHEA Grapalat"/>
          <w:sz w:val="16"/>
          <w:szCs w:val="16"/>
          <w:lang w:val="hy-AM"/>
        </w:rPr>
        <w:t xml:space="preserve"> </w:t>
      </w:r>
      <w:r w:rsidR="00205596" w:rsidRPr="00BC278E">
        <w:rPr>
          <w:rFonts w:ascii="GHEA Grapalat" w:hAnsi="GHEA Grapalat"/>
          <w:sz w:val="16"/>
          <w:szCs w:val="16"/>
          <w:lang w:val="hy-AM"/>
        </w:rPr>
        <w:t xml:space="preserve">Համաձայն ԱՀԿ տվյալների բազայի, </w:t>
      </w:r>
      <w:r w:rsidR="00205596">
        <w:rPr>
          <w:rFonts w:ascii="GHEA Grapalat" w:hAnsi="GHEA Grapalat"/>
          <w:sz w:val="16"/>
          <w:szCs w:val="16"/>
          <w:lang w:val="hy-AM"/>
        </w:rPr>
        <w:t xml:space="preserve">Հայաստանի հետ միևնույն եկամտային խմբում գտնվող երկրներում պետական առողջապահական ծախսերը ՀՆԱ-ում միջինում </w:t>
      </w:r>
      <w:r w:rsidR="00205596" w:rsidRPr="00A16E77">
        <w:rPr>
          <w:rFonts w:ascii="GHEA Grapalat" w:hAnsi="GHEA Grapalat"/>
          <w:sz w:val="16"/>
          <w:szCs w:val="16"/>
          <w:lang w:val="hy-AM"/>
        </w:rPr>
        <w:t>4-6%</w:t>
      </w:r>
      <w:r w:rsidR="00205596">
        <w:rPr>
          <w:rFonts w:ascii="GHEA Grapalat" w:hAnsi="GHEA Grapalat"/>
          <w:sz w:val="16"/>
          <w:szCs w:val="16"/>
          <w:lang w:val="hy-AM"/>
        </w:rPr>
        <w:t xml:space="preserve"> են կազմում</w:t>
      </w:r>
    </w:p>
  </w:footnote>
  <w:footnote w:id="3">
    <w:p w14:paraId="14C77565" w14:textId="57B28818" w:rsidR="00FE4824" w:rsidRPr="00C92AF8" w:rsidRDefault="00FE482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16E77">
        <w:rPr>
          <w:lang w:val="hy-AM"/>
        </w:rPr>
        <w:t xml:space="preserve"> </w:t>
      </w:r>
      <w:r>
        <w:rPr>
          <w:lang w:val="hy-AM"/>
        </w:rPr>
        <w:t xml:space="preserve">Տնային տնտեսությունների կենսամակարդակի </w:t>
      </w:r>
      <w:r w:rsidR="00C92AF8">
        <w:rPr>
          <w:lang w:val="hy-AM"/>
        </w:rPr>
        <w:t xml:space="preserve">ամբողջացված հետազոտություն, </w:t>
      </w:r>
      <w:r w:rsidR="00C92AF8" w:rsidRPr="00A16E77">
        <w:rPr>
          <w:lang w:val="hy-AM"/>
        </w:rPr>
        <w:t>2019</w:t>
      </w:r>
      <w:r w:rsidR="00C92AF8">
        <w:rPr>
          <w:lang w:val="hy-AM"/>
        </w:rPr>
        <w:t>թ</w:t>
      </w:r>
    </w:p>
  </w:footnote>
  <w:footnote w:id="4">
    <w:p w14:paraId="171CB0A2" w14:textId="77777777" w:rsidR="00F440D3" w:rsidRPr="00A22407" w:rsidRDefault="00F440D3" w:rsidP="00F440D3">
      <w:pPr>
        <w:pStyle w:val="FootnoteText"/>
        <w:spacing w:line="240" w:lineRule="auto"/>
        <w:rPr>
          <w:lang w:val="hy-AM"/>
        </w:rPr>
      </w:pPr>
      <w:r w:rsidRPr="00BC278E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BC278E">
        <w:rPr>
          <w:rFonts w:ascii="GHEA Grapalat" w:hAnsi="GHEA Grapalat"/>
          <w:sz w:val="16"/>
          <w:szCs w:val="16"/>
          <w:lang w:val="hy-AM"/>
        </w:rPr>
        <w:t xml:space="preserve"> Տնային տնտեսությունների կենսամակարդակի ամբողջացված հետազոտություն, 2018թ.: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4D5"/>
    <w:multiLevelType w:val="multilevel"/>
    <w:tmpl w:val="C2FCF5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328327C"/>
    <w:multiLevelType w:val="hybridMultilevel"/>
    <w:tmpl w:val="843A1E32"/>
    <w:lvl w:ilvl="0" w:tplc="969C8C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240A"/>
    <w:multiLevelType w:val="multilevel"/>
    <w:tmpl w:val="E3A6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0E5AF2"/>
    <w:multiLevelType w:val="hybridMultilevel"/>
    <w:tmpl w:val="8132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6774"/>
    <w:multiLevelType w:val="hybridMultilevel"/>
    <w:tmpl w:val="4B1CCC7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34352"/>
    <w:multiLevelType w:val="hybridMultilevel"/>
    <w:tmpl w:val="B5DE86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9C1"/>
    <w:multiLevelType w:val="hybridMultilevel"/>
    <w:tmpl w:val="44A8527C"/>
    <w:lvl w:ilvl="0" w:tplc="E6448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12E59"/>
    <w:multiLevelType w:val="hybridMultilevel"/>
    <w:tmpl w:val="F5F8D7FE"/>
    <w:lvl w:ilvl="0" w:tplc="4606B9B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A8D"/>
    <w:multiLevelType w:val="multilevel"/>
    <w:tmpl w:val="DFCE9D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7312A3"/>
    <w:multiLevelType w:val="multilevel"/>
    <w:tmpl w:val="728C02A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78A4BCE"/>
    <w:multiLevelType w:val="multilevel"/>
    <w:tmpl w:val="E3A6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78E472F"/>
    <w:multiLevelType w:val="hybridMultilevel"/>
    <w:tmpl w:val="1DD6DF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604D11"/>
    <w:multiLevelType w:val="hybridMultilevel"/>
    <w:tmpl w:val="B8AA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86B61"/>
    <w:multiLevelType w:val="hybridMultilevel"/>
    <w:tmpl w:val="536A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D315E"/>
    <w:multiLevelType w:val="multilevel"/>
    <w:tmpl w:val="DFCE9D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6C3200"/>
    <w:multiLevelType w:val="hybridMultilevel"/>
    <w:tmpl w:val="D22C5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77336"/>
    <w:multiLevelType w:val="hybridMultilevel"/>
    <w:tmpl w:val="A1523268"/>
    <w:lvl w:ilvl="0" w:tplc="F3ACC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25B87"/>
    <w:multiLevelType w:val="hybridMultilevel"/>
    <w:tmpl w:val="30EA0862"/>
    <w:lvl w:ilvl="0" w:tplc="D7B26250">
      <w:start w:val="1"/>
      <w:numFmt w:val="decimal"/>
      <w:lvlText w:val="%1)"/>
      <w:lvlJc w:val="left"/>
      <w:pPr>
        <w:ind w:left="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1D325EA"/>
    <w:multiLevelType w:val="multilevel"/>
    <w:tmpl w:val="7D300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3436BD"/>
    <w:multiLevelType w:val="hybridMultilevel"/>
    <w:tmpl w:val="4BAC524A"/>
    <w:lvl w:ilvl="0" w:tplc="D750B85C">
      <w:start w:val="1"/>
      <w:numFmt w:val="decimal"/>
      <w:lvlText w:val="%1)"/>
      <w:lvlJc w:val="left"/>
      <w:pPr>
        <w:ind w:left="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BA441ED"/>
    <w:multiLevelType w:val="multilevel"/>
    <w:tmpl w:val="DFCE9D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7428E9"/>
    <w:multiLevelType w:val="hybridMultilevel"/>
    <w:tmpl w:val="3D5660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B84858"/>
    <w:multiLevelType w:val="hybridMultilevel"/>
    <w:tmpl w:val="FC3EA3C4"/>
    <w:lvl w:ilvl="0" w:tplc="09F68F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74969"/>
    <w:multiLevelType w:val="hybridMultilevel"/>
    <w:tmpl w:val="C8308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73154"/>
    <w:multiLevelType w:val="multilevel"/>
    <w:tmpl w:val="DFCE9D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416BFC"/>
    <w:multiLevelType w:val="hybridMultilevel"/>
    <w:tmpl w:val="41582FB4"/>
    <w:lvl w:ilvl="0" w:tplc="5F2A4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82956"/>
    <w:multiLevelType w:val="hybridMultilevel"/>
    <w:tmpl w:val="FA1C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F48"/>
    <w:multiLevelType w:val="hybridMultilevel"/>
    <w:tmpl w:val="E108AEB6"/>
    <w:lvl w:ilvl="0" w:tplc="D00E4712">
      <w:start w:val="1"/>
      <w:numFmt w:val="decimal"/>
      <w:lvlText w:val="%1."/>
      <w:lvlJc w:val="left"/>
      <w:pPr>
        <w:ind w:left="9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8" w15:restartNumberingAfterBreak="0">
    <w:nsid w:val="5B2324A1"/>
    <w:multiLevelType w:val="hybridMultilevel"/>
    <w:tmpl w:val="C4B01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37A6B"/>
    <w:multiLevelType w:val="hybridMultilevel"/>
    <w:tmpl w:val="746CC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32734"/>
    <w:multiLevelType w:val="multilevel"/>
    <w:tmpl w:val="6CA67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7577DF"/>
    <w:multiLevelType w:val="multilevel"/>
    <w:tmpl w:val="E3AE07A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A637CF"/>
    <w:multiLevelType w:val="hybridMultilevel"/>
    <w:tmpl w:val="6346CEC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B61A94"/>
    <w:multiLevelType w:val="hybridMultilevel"/>
    <w:tmpl w:val="F4A6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E4D16"/>
    <w:multiLevelType w:val="hybridMultilevel"/>
    <w:tmpl w:val="1C3C7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9255B"/>
    <w:multiLevelType w:val="hybridMultilevel"/>
    <w:tmpl w:val="F014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07D24"/>
    <w:multiLevelType w:val="hybridMultilevel"/>
    <w:tmpl w:val="E108AEB6"/>
    <w:lvl w:ilvl="0" w:tplc="FFFFFFFF">
      <w:start w:val="1"/>
      <w:numFmt w:val="decimal"/>
      <w:lvlText w:val="%1."/>
      <w:lvlJc w:val="left"/>
      <w:pPr>
        <w:ind w:left="9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7" w15:restartNumberingAfterBreak="0">
    <w:nsid w:val="794520CD"/>
    <w:multiLevelType w:val="hybridMultilevel"/>
    <w:tmpl w:val="278C83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C01305"/>
    <w:multiLevelType w:val="hybridMultilevel"/>
    <w:tmpl w:val="ACFA6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0"/>
  </w:num>
  <w:num w:numId="4">
    <w:abstractNumId w:val="20"/>
  </w:num>
  <w:num w:numId="5">
    <w:abstractNumId w:val="13"/>
  </w:num>
  <w:num w:numId="6">
    <w:abstractNumId w:val="3"/>
  </w:num>
  <w:num w:numId="7">
    <w:abstractNumId w:val="29"/>
  </w:num>
  <w:num w:numId="8">
    <w:abstractNumId w:val="9"/>
  </w:num>
  <w:num w:numId="9">
    <w:abstractNumId w:val="15"/>
  </w:num>
  <w:num w:numId="10">
    <w:abstractNumId w:val="38"/>
  </w:num>
  <w:num w:numId="11">
    <w:abstractNumId w:val="5"/>
  </w:num>
  <w:num w:numId="12">
    <w:abstractNumId w:val="25"/>
  </w:num>
  <w:num w:numId="13">
    <w:abstractNumId w:val="33"/>
  </w:num>
  <w:num w:numId="14">
    <w:abstractNumId w:val="8"/>
  </w:num>
  <w:num w:numId="15">
    <w:abstractNumId w:val="24"/>
  </w:num>
  <w:num w:numId="16">
    <w:abstractNumId w:val="14"/>
  </w:num>
  <w:num w:numId="17">
    <w:abstractNumId w:val="0"/>
  </w:num>
  <w:num w:numId="18">
    <w:abstractNumId w:val="7"/>
  </w:num>
  <w:num w:numId="19">
    <w:abstractNumId w:val="23"/>
  </w:num>
  <w:num w:numId="20">
    <w:abstractNumId w:val="17"/>
  </w:num>
  <w:num w:numId="21">
    <w:abstractNumId w:val="16"/>
  </w:num>
  <w:num w:numId="22">
    <w:abstractNumId w:val="6"/>
  </w:num>
  <w:num w:numId="23">
    <w:abstractNumId w:val="19"/>
  </w:num>
  <w:num w:numId="24">
    <w:abstractNumId w:val="28"/>
  </w:num>
  <w:num w:numId="25">
    <w:abstractNumId w:val="18"/>
  </w:num>
  <w:num w:numId="26">
    <w:abstractNumId w:val="30"/>
  </w:num>
  <w:num w:numId="27">
    <w:abstractNumId w:val="31"/>
  </w:num>
  <w:num w:numId="28">
    <w:abstractNumId w:val="26"/>
  </w:num>
  <w:num w:numId="29">
    <w:abstractNumId w:val="21"/>
  </w:num>
  <w:num w:numId="30">
    <w:abstractNumId w:val="11"/>
  </w:num>
  <w:num w:numId="31">
    <w:abstractNumId w:val="37"/>
  </w:num>
  <w:num w:numId="32">
    <w:abstractNumId w:val="32"/>
  </w:num>
  <w:num w:numId="33">
    <w:abstractNumId w:val="4"/>
  </w:num>
  <w:num w:numId="34">
    <w:abstractNumId w:val="34"/>
  </w:num>
  <w:num w:numId="35">
    <w:abstractNumId w:val="1"/>
  </w:num>
  <w:num w:numId="36">
    <w:abstractNumId w:val="22"/>
  </w:num>
  <w:num w:numId="37">
    <w:abstractNumId w:val="27"/>
  </w:num>
  <w:num w:numId="38">
    <w:abstractNumId w:val="3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80"/>
    <w:rsid w:val="00007564"/>
    <w:rsid w:val="00022533"/>
    <w:rsid w:val="00023544"/>
    <w:rsid w:val="00026E1B"/>
    <w:rsid w:val="00044B8D"/>
    <w:rsid w:val="00052DD7"/>
    <w:rsid w:val="00072531"/>
    <w:rsid w:val="00074529"/>
    <w:rsid w:val="0008477A"/>
    <w:rsid w:val="000860D3"/>
    <w:rsid w:val="00087A64"/>
    <w:rsid w:val="000B661A"/>
    <w:rsid w:val="000B6D11"/>
    <w:rsid w:val="000C30FA"/>
    <w:rsid w:val="000C6662"/>
    <w:rsid w:val="000D2C09"/>
    <w:rsid w:val="000D3DF8"/>
    <w:rsid w:val="000F0429"/>
    <w:rsid w:val="000F0C1A"/>
    <w:rsid w:val="000F5EF0"/>
    <w:rsid w:val="00111C3F"/>
    <w:rsid w:val="00113787"/>
    <w:rsid w:val="00140EB7"/>
    <w:rsid w:val="001427B6"/>
    <w:rsid w:val="00145809"/>
    <w:rsid w:val="001536BD"/>
    <w:rsid w:val="00167D58"/>
    <w:rsid w:val="00176ED1"/>
    <w:rsid w:val="00181E22"/>
    <w:rsid w:val="00182100"/>
    <w:rsid w:val="00182AEE"/>
    <w:rsid w:val="001873BC"/>
    <w:rsid w:val="001878BC"/>
    <w:rsid w:val="00194D03"/>
    <w:rsid w:val="0019502A"/>
    <w:rsid w:val="001D458C"/>
    <w:rsid w:val="001D5313"/>
    <w:rsid w:val="001E35C0"/>
    <w:rsid w:val="001E7102"/>
    <w:rsid w:val="001F3669"/>
    <w:rsid w:val="001F58DB"/>
    <w:rsid w:val="00203152"/>
    <w:rsid w:val="00205596"/>
    <w:rsid w:val="00211F62"/>
    <w:rsid w:val="002343D3"/>
    <w:rsid w:val="00243D9B"/>
    <w:rsid w:val="00250894"/>
    <w:rsid w:val="00255A54"/>
    <w:rsid w:val="0025708C"/>
    <w:rsid w:val="002854F2"/>
    <w:rsid w:val="00287347"/>
    <w:rsid w:val="002A355A"/>
    <w:rsid w:val="002C7097"/>
    <w:rsid w:val="002D1EFA"/>
    <w:rsid w:val="002E2E46"/>
    <w:rsid w:val="002F3BA0"/>
    <w:rsid w:val="003003A7"/>
    <w:rsid w:val="00300F00"/>
    <w:rsid w:val="00312731"/>
    <w:rsid w:val="00312CB3"/>
    <w:rsid w:val="00332FE7"/>
    <w:rsid w:val="0033519B"/>
    <w:rsid w:val="00335E94"/>
    <w:rsid w:val="00342D2E"/>
    <w:rsid w:val="00346AD6"/>
    <w:rsid w:val="00350C50"/>
    <w:rsid w:val="003516AB"/>
    <w:rsid w:val="00353CBB"/>
    <w:rsid w:val="003758B5"/>
    <w:rsid w:val="00380FA2"/>
    <w:rsid w:val="00382310"/>
    <w:rsid w:val="0038518A"/>
    <w:rsid w:val="00386270"/>
    <w:rsid w:val="00393038"/>
    <w:rsid w:val="00393E1A"/>
    <w:rsid w:val="003957FA"/>
    <w:rsid w:val="003B2EF6"/>
    <w:rsid w:val="003B4E00"/>
    <w:rsid w:val="003B7763"/>
    <w:rsid w:val="003C5B38"/>
    <w:rsid w:val="003E19DE"/>
    <w:rsid w:val="003E3DF5"/>
    <w:rsid w:val="003E7DCE"/>
    <w:rsid w:val="003F67BB"/>
    <w:rsid w:val="00405574"/>
    <w:rsid w:val="00424980"/>
    <w:rsid w:val="004373F0"/>
    <w:rsid w:val="004432BB"/>
    <w:rsid w:val="00467419"/>
    <w:rsid w:val="004675D6"/>
    <w:rsid w:val="004730D4"/>
    <w:rsid w:val="00480FF5"/>
    <w:rsid w:val="00482FA4"/>
    <w:rsid w:val="004B208F"/>
    <w:rsid w:val="004B5155"/>
    <w:rsid w:val="004B6FC9"/>
    <w:rsid w:val="004B7E7A"/>
    <w:rsid w:val="004C1065"/>
    <w:rsid w:val="004D714C"/>
    <w:rsid w:val="004E0754"/>
    <w:rsid w:val="004F1389"/>
    <w:rsid w:val="005233EE"/>
    <w:rsid w:val="00524330"/>
    <w:rsid w:val="00526C71"/>
    <w:rsid w:val="00530ABF"/>
    <w:rsid w:val="00530FC2"/>
    <w:rsid w:val="005326FC"/>
    <w:rsid w:val="00532DC5"/>
    <w:rsid w:val="00540BE4"/>
    <w:rsid w:val="005422C2"/>
    <w:rsid w:val="00556D81"/>
    <w:rsid w:val="0056625F"/>
    <w:rsid w:val="005832C1"/>
    <w:rsid w:val="0058534D"/>
    <w:rsid w:val="005A16E9"/>
    <w:rsid w:val="005A5ED7"/>
    <w:rsid w:val="005B4E70"/>
    <w:rsid w:val="005B4E86"/>
    <w:rsid w:val="005D1808"/>
    <w:rsid w:val="005D2D86"/>
    <w:rsid w:val="005F61BB"/>
    <w:rsid w:val="00600F81"/>
    <w:rsid w:val="00623EFF"/>
    <w:rsid w:val="00631218"/>
    <w:rsid w:val="006353EA"/>
    <w:rsid w:val="0064030E"/>
    <w:rsid w:val="00644337"/>
    <w:rsid w:val="006471D9"/>
    <w:rsid w:val="00656F54"/>
    <w:rsid w:val="00682F1D"/>
    <w:rsid w:val="00686082"/>
    <w:rsid w:val="006940FB"/>
    <w:rsid w:val="00696CE6"/>
    <w:rsid w:val="006A0259"/>
    <w:rsid w:val="006C04E9"/>
    <w:rsid w:val="006C37A8"/>
    <w:rsid w:val="006D2A80"/>
    <w:rsid w:val="006E4580"/>
    <w:rsid w:val="00706E0B"/>
    <w:rsid w:val="00712025"/>
    <w:rsid w:val="00714FD6"/>
    <w:rsid w:val="007165C0"/>
    <w:rsid w:val="007352FB"/>
    <w:rsid w:val="00740865"/>
    <w:rsid w:val="00740A34"/>
    <w:rsid w:val="007525EF"/>
    <w:rsid w:val="0077152A"/>
    <w:rsid w:val="00771848"/>
    <w:rsid w:val="007A279D"/>
    <w:rsid w:val="007C3458"/>
    <w:rsid w:val="007D1E2A"/>
    <w:rsid w:val="007E13B5"/>
    <w:rsid w:val="007E24C4"/>
    <w:rsid w:val="007E5A56"/>
    <w:rsid w:val="007F568E"/>
    <w:rsid w:val="007F76E1"/>
    <w:rsid w:val="00813080"/>
    <w:rsid w:val="0081544F"/>
    <w:rsid w:val="00820254"/>
    <w:rsid w:val="0082534D"/>
    <w:rsid w:val="00827196"/>
    <w:rsid w:val="0083239F"/>
    <w:rsid w:val="00836F66"/>
    <w:rsid w:val="00842CE2"/>
    <w:rsid w:val="00865477"/>
    <w:rsid w:val="008706E5"/>
    <w:rsid w:val="00876ABC"/>
    <w:rsid w:val="00876CBF"/>
    <w:rsid w:val="008827CA"/>
    <w:rsid w:val="00884490"/>
    <w:rsid w:val="00887050"/>
    <w:rsid w:val="0088772A"/>
    <w:rsid w:val="0089339F"/>
    <w:rsid w:val="0089434C"/>
    <w:rsid w:val="008A12ED"/>
    <w:rsid w:val="008A2272"/>
    <w:rsid w:val="008A763A"/>
    <w:rsid w:val="008B2A2B"/>
    <w:rsid w:val="008B37E4"/>
    <w:rsid w:val="008B756E"/>
    <w:rsid w:val="008D52D6"/>
    <w:rsid w:val="008E03B6"/>
    <w:rsid w:val="008F00C7"/>
    <w:rsid w:val="008F2DBE"/>
    <w:rsid w:val="008F53CB"/>
    <w:rsid w:val="0091192B"/>
    <w:rsid w:val="00917978"/>
    <w:rsid w:val="0092639D"/>
    <w:rsid w:val="00931213"/>
    <w:rsid w:val="0093161D"/>
    <w:rsid w:val="0093499B"/>
    <w:rsid w:val="00946153"/>
    <w:rsid w:val="009464AE"/>
    <w:rsid w:val="00954421"/>
    <w:rsid w:val="00956B55"/>
    <w:rsid w:val="00957CF9"/>
    <w:rsid w:val="00960A26"/>
    <w:rsid w:val="009642D1"/>
    <w:rsid w:val="009874EF"/>
    <w:rsid w:val="009A0E73"/>
    <w:rsid w:val="009A32B0"/>
    <w:rsid w:val="009B3EFA"/>
    <w:rsid w:val="009B59CE"/>
    <w:rsid w:val="009D4CAD"/>
    <w:rsid w:val="009E4A73"/>
    <w:rsid w:val="009F5CAE"/>
    <w:rsid w:val="00A16E77"/>
    <w:rsid w:val="00A22DC6"/>
    <w:rsid w:val="00A435F1"/>
    <w:rsid w:val="00A50B39"/>
    <w:rsid w:val="00A54270"/>
    <w:rsid w:val="00A55323"/>
    <w:rsid w:val="00A56381"/>
    <w:rsid w:val="00A66A7E"/>
    <w:rsid w:val="00A72C87"/>
    <w:rsid w:val="00A72CC4"/>
    <w:rsid w:val="00A915EE"/>
    <w:rsid w:val="00AA31D7"/>
    <w:rsid w:val="00AC5DD3"/>
    <w:rsid w:val="00AE58B0"/>
    <w:rsid w:val="00AF0A75"/>
    <w:rsid w:val="00B04015"/>
    <w:rsid w:val="00B1181E"/>
    <w:rsid w:val="00B229EB"/>
    <w:rsid w:val="00B25704"/>
    <w:rsid w:val="00B30A79"/>
    <w:rsid w:val="00B34CD4"/>
    <w:rsid w:val="00B34F84"/>
    <w:rsid w:val="00B377A5"/>
    <w:rsid w:val="00B57218"/>
    <w:rsid w:val="00B60E85"/>
    <w:rsid w:val="00B826F8"/>
    <w:rsid w:val="00BA4F56"/>
    <w:rsid w:val="00BA6D4A"/>
    <w:rsid w:val="00BD52FA"/>
    <w:rsid w:val="00BD5FA8"/>
    <w:rsid w:val="00BE1DA0"/>
    <w:rsid w:val="00BF2B38"/>
    <w:rsid w:val="00C06E33"/>
    <w:rsid w:val="00C25248"/>
    <w:rsid w:val="00C26D25"/>
    <w:rsid w:val="00C3579D"/>
    <w:rsid w:val="00C37EE6"/>
    <w:rsid w:val="00C50B7D"/>
    <w:rsid w:val="00C56BFA"/>
    <w:rsid w:val="00C863FE"/>
    <w:rsid w:val="00C91CF1"/>
    <w:rsid w:val="00C92AF8"/>
    <w:rsid w:val="00CB6E46"/>
    <w:rsid w:val="00CC58FC"/>
    <w:rsid w:val="00CD211B"/>
    <w:rsid w:val="00CD41F7"/>
    <w:rsid w:val="00CE4287"/>
    <w:rsid w:val="00CF0820"/>
    <w:rsid w:val="00CF515D"/>
    <w:rsid w:val="00D022DD"/>
    <w:rsid w:val="00D043DD"/>
    <w:rsid w:val="00D1581A"/>
    <w:rsid w:val="00D21CFC"/>
    <w:rsid w:val="00D41CE0"/>
    <w:rsid w:val="00D44C12"/>
    <w:rsid w:val="00D5031E"/>
    <w:rsid w:val="00D574B7"/>
    <w:rsid w:val="00D701C9"/>
    <w:rsid w:val="00D81518"/>
    <w:rsid w:val="00DA29E7"/>
    <w:rsid w:val="00DA2F08"/>
    <w:rsid w:val="00DA3836"/>
    <w:rsid w:val="00DB07CA"/>
    <w:rsid w:val="00DC2EB3"/>
    <w:rsid w:val="00DC450E"/>
    <w:rsid w:val="00DD45FA"/>
    <w:rsid w:val="00DD7969"/>
    <w:rsid w:val="00DE07D4"/>
    <w:rsid w:val="00DE1C96"/>
    <w:rsid w:val="00DF4F28"/>
    <w:rsid w:val="00DF4FFE"/>
    <w:rsid w:val="00DF5203"/>
    <w:rsid w:val="00E120C0"/>
    <w:rsid w:val="00E43F88"/>
    <w:rsid w:val="00E43FC5"/>
    <w:rsid w:val="00E67016"/>
    <w:rsid w:val="00E75AC0"/>
    <w:rsid w:val="00E83B56"/>
    <w:rsid w:val="00E85948"/>
    <w:rsid w:val="00E86D7C"/>
    <w:rsid w:val="00E911D1"/>
    <w:rsid w:val="00E94F10"/>
    <w:rsid w:val="00EA6ADC"/>
    <w:rsid w:val="00EC235F"/>
    <w:rsid w:val="00EC3AD6"/>
    <w:rsid w:val="00ED3A52"/>
    <w:rsid w:val="00ED4083"/>
    <w:rsid w:val="00EE1A90"/>
    <w:rsid w:val="00EE28BA"/>
    <w:rsid w:val="00EF3276"/>
    <w:rsid w:val="00F02F7D"/>
    <w:rsid w:val="00F06DB1"/>
    <w:rsid w:val="00F360C4"/>
    <w:rsid w:val="00F440D3"/>
    <w:rsid w:val="00F5223D"/>
    <w:rsid w:val="00F6576F"/>
    <w:rsid w:val="00F761DE"/>
    <w:rsid w:val="00F8645A"/>
    <w:rsid w:val="00F8698E"/>
    <w:rsid w:val="00F97768"/>
    <w:rsid w:val="00FC047C"/>
    <w:rsid w:val="00FC4878"/>
    <w:rsid w:val="00FC612B"/>
    <w:rsid w:val="00FC67EA"/>
    <w:rsid w:val="00FD4025"/>
    <w:rsid w:val="00FE28D2"/>
    <w:rsid w:val="00FE4824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E27E"/>
  <w15:chartTrackingRefBased/>
  <w15:docId w15:val="{F1997F40-F517-4026-8C5E-0E591850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7D"/>
    <w:pPr>
      <w:keepNext/>
      <w:keepLines/>
      <w:spacing w:before="240" w:after="0" w:line="40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,Ha,3"/>
    <w:basedOn w:val="Normal"/>
    <w:link w:val="ListParagraphChar"/>
    <w:uiPriority w:val="34"/>
    <w:qFormat/>
    <w:rsid w:val="00E91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3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0E"/>
    <w:rPr>
      <w:lang w:val="en-US"/>
    </w:rPr>
  </w:style>
  <w:style w:type="paragraph" w:styleId="NormalWeb">
    <w:name w:val="Normal (Web)"/>
    <w:basedOn w:val="Normal"/>
    <w:uiPriority w:val="99"/>
    <w:unhideWhenUsed/>
    <w:rsid w:val="0096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02F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5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CF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F9"/>
    <w:rPr>
      <w:b/>
      <w:bCs/>
      <w:sz w:val="20"/>
      <w:szCs w:val="20"/>
      <w:lang w:val="en-US"/>
    </w:rPr>
  </w:style>
  <w:style w:type="paragraph" w:styleId="FootnoteText">
    <w:name w:val="footnote text"/>
    <w:aliases w:val="single space,footnote text,fn,FOOTNOTES,ADB,ADB Char,single space Char Char,footnote text Char,fn Char"/>
    <w:basedOn w:val="Normal"/>
    <w:link w:val="FootnoteTextChar1"/>
    <w:uiPriority w:val="99"/>
    <w:semiHidden/>
    <w:rsid w:val="00F440D3"/>
    <w:pPr>
      <w:spacing w:after="0" w:line="408" w:lineRule="auto"/>
      <w:ind w:left="-720" w:firstLine="36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uiPriority w:val="99"/>
    <w:semiHidden/>
    <w:rsid w:val="00F440D3"/>
    <w:rPr>
      <w:sz w:val="20"/>
      <w:szCs w:val="20"/>
      <w:lang w:val="en-US"/>
    </w:rPr>
  </w:style>
  <w:style w:type="character" w:customStyle="1" w:styleId="FootnoteTextChar1">
    <w:name w:val="Footnote Text Char1"/>
    <w:aliases w:val="single space Char,footnote text Char1,fn Char1,FOOTNOTES Char,ADB Char1,ADB Char Char,single space Char Char Char,footnote text Char Char,fn Char Char"/>
    <w:basedOn w:val="DefaultParagraphFont"/>
    <w:link w:val="FootnoteText"/>
    <w:uiPriority w:val="99"/>
    <w:semiHidden/>
    <w:rsid w:val="00F44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semiHidden/>
    <w:rsid w:val="00F440D3"/>
    <w:rPr>
      <w:vertAlign w:val="superscript"/>
    </w:rPr>
  </w:style>
  <w:style w:type="table" w:styleId="TableGrid">
    <w:name w:val="Table Grid"/>
    <w:basedOn w:val="TableNormal"/>
    <w:uiPriority w:val="39"/>
    <w:rsid w:val="00F440D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1389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F1389"/>
    <w:pPr>
      <w:spacing w:line="259" w:lineRule="auto"/>
      <w:outlineLvl w:val="9"/>
    </w:pPr>
    <w:rPr>
      <w:lang w:val="ru-RU"/>
    </w:rPr>
  </w:style>
  <w:style w:type="paragraph" w:styleId="TOC1">
    <w:name w:val="toc 1"/>
    <w:basedOn w:val="Normal"/>
    <w:next w:val="Normal"/>
    <w:autoRedefine/>
    <w:uiPriority w:val="39"/>
    <w:unhideWhenUsed/>
    <w:rsid w:val="004F1389"/>
    <w:pPr>
      <w:spacing w:after="100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4F1389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,Ha Char,3 Char"/>
    <w:link w:val="ListParagraph"/>
    <w:uiPriority w:val="34"/>
    <w:qFormat/>
    <w:locked/>
    <w:rsid w:val="00600F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EC5D-19E0-4FD8-BFA7-0FCD95DD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</dc:creator>
  <cp:keywords/>
  <dc:description/>
  <cp:lastModifiedBy>MOH</cp:lastModifiedBy>
  <cp:revision>2</cp:revision>
  <dcterms:created xsi:type="dcterms:W3CDTF">2023-01-11T11:18:00Z</dcterms:created>
  <dcterms:modified xsi:type="dcterms:W3CDTF">2023-01-11T11:18:00Z</dcterms:modified>
</cp:coreProperties>
</file>