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88E9D" w14:textId="327D93F4" w:rsidR="00DD3EF6" w:rsidRPr="008D5778" w:rsidRDefault="00920E30" w:rsidP="00B13970">
      <w:pPr>
        <w:spacing w:after="0" w:line="240" w:lineRule="auto"/>
        <w:jc w:val="center"/>
        <w:rPr>
          <w:rFonts w:ascii="GHEA Grapalat" w:hAnsi="GHEA Grapalat" w:cs="Arial"/>
          <w:b/>
          <w:bCs/>
          <w:spacing w:val="40"/>
          <w:sz w:val="24"/>
          <w:szCs w:val="24"/>
          <w:lang w:val="hy-AM"/>
        </w:rPr>
      </w:pPr>
      <w:r w:rsidRPr="008D5778">
        <w:rPr>
          <w:rFonts w:ascii="GHEA Grapalat" w:hAnsi="GHEA Grapalat" w:cs="Arial"/>
          <w:b/>
          <w:bCs/>
          <w:spacing w:val="40"/>
          <w:sz w:val="24"/>
          <w:szCs w:val="24"/>
          <w:lang w:val="hy-AM"/>
        </w:rPr>
        <w:t>ՀԻՄՆԱՎՈՐՈՒՄ</w:t>
      </w:r>
    </w:p>
    <w:p w14:paraId="58D40569" w14:textId="62632710" w:rsidR="00992D3A" w:rsidRPr="008D5778" w:rsidRDefault="00920E30" w:rsidP="00B13970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D5778">
        <w:rPr>
          <w:rFonts w:ascii="GHEA Grapalat" w:hAnsi="GHEA Grapalat" w:cs="Arial"/>
          <w:b/>
          <w:sz w:val="24"/>
          <w:szCs w:val="24"/>
          <w:lang w:val="hy-AM"/>
        </w:rPr>
        <w:t>«ՀԱՅԱՍՏԱՆԻ ՀԱՆՐԱՊԵՏՈՒԹՅՈՒՆՈՒՄ ԱՌՈՂՋՈՒԹՅԱՆ ՀԱՄԱՊԱՐՓԱԿ ԱՊԱՀՈՎԱԳՐՈՒԹՅԱՆ ՆԵՐԴՐՄԱՆ ՀԱՅԵՑԱԿԱՐԳԸ ՀԱՍՏԱՏԵԼՈՒ</w:t>
      </w:r>
      <w:r w:rsidR="00B1397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Arial"/>
          <w:b/>
          <w:sz w:val="24"/>
          <w:szCs w:val="24"/>
          <w:lang w:val="hy-AM"/>
        </w:rPr>
        <w:t>ՄԱՍԻՆ»</w:t>
      </w:r>
      <w:r w:rsidR="00B1397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</w:t>
      </w:r>
    </w:p>
    <w:p w14:paraId="58E06808" w14:textId="77777777" w:rsidR="00BA5BC9" w:rsidRPr="008D5778" w:rsidRDefault="00BA5BC9" w:rsidP="00B13970">
      <w:pPr>
        <w:pStyle w:val="BodyText"/>
        <w:tabs>
          <w:tab w:val="left" w:pos="720"/>
        </w:tabs>
        <w:spacing w:after="0" w:line="360" w:lineRule="auto"/>
        <w:ind w:firstLine="851"/>
        <w:rPr>
          <w:rFonts w:ascii="GHEA Grapalat" w:hAnsi="GHEA Grapalat" w:cs="Arial"/>
          <w:sz w:val="24"/>
          <w:szCs w:val="24"/>
          <w:lang w:val="hy-AM"/>
        </w:rPr>
      </w:pPr>
    </w:p>
    <w:p w14:paraId="64788E0A" w14:textId="368E7898" w:rsidR="00920E30" w:rsidRPr="008D5778" w:rsidRDefault="00C16C19" w:rsidP="00B13970">
      <w:pPr>
        <w:pStyle w:val="ListParagraph"/>
        <w:spacing w:after="0" w:line="360" w:lineRule="auto"/>
        <w:ind w:left="0" w:firstLine="851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D577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1. </w:t>
      </w:r>
      <w:r w:rsidR="00920E30" w:rsidRPr="008D577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6F2C350B" w14:textId="63438B5E" w:rsidR="009E4C96" w:rsidRPr="008D5778" w:rsidRDefault="000C5001" w:rsidP="00B13970">
      <w:pPr>
        <w:pStyle w:val="BodyText"/>
        <w:tabs>
          <w:tab w:val="left" w:pos="720"/>
        </w:tabs>
        <w:spacing w:after="0" w:line="360" w:lineRule="auto"/>
        <w:ind w:firstLine="851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D5778">
        <w:rPr>
          <w:rFonts w:ascii="GHEA Grapalat" w:hAnsi="GHEA Grapalat" w:cs="Arial"/>
          <w:sz w:val="24"/>
          <w:szCs w:val="24"/>
          <w:lang w:val="hy-AM"/>
        </w:rPr>
        <w:t>«Հայաստանի Հանրապետությունում առողջության համապարփակ ապահովագրության ներդրման հայեցակարգը հաստատելու</w:t>
      </w:r>
      <w:r w:rsidR="00B1397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Arial"/>
          <w:sz w:val="24"/>
          <w:szCs w:val="24"/>
          <w:lang w:val="hy-AM"/>
        </w:rPr>
        <w:t>մասին»</w:t>
      </w:r>
      <w:r w:rsidR="00B1397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Arial"/>
          <w:sz w:val="24"/>
          <w:szCs w:val="24"/>
          <w:lang w:val="hy-AM"/>
        </w:rPr>
        <w:t xml:space="preserve">Կառավարության որոշման նախագիծը (այսուհետ՝ նախագիծ) </w:t>
      </w:r>
      <w:r w:rsidR="003421AF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մշակվել է ի կատարումն Հայաստանի Հանրապետության կառավարության 20</w:t>
      </w:r>
      <w:r w:rsidR="006F54B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21</w:t>
      </w:r>
      <w:r w:rsidR="003421AF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թվականի </w:t>
      </w:r>
      <w:r w:rsidR="006F54B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նո</w:t>
      </w:r>
      <w:r w:rsidR="00920E30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յ</w:t>
      </w:r>
      <w:r w:rsidR="006F54B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եմբերի</w:t>
      </w:r>
      <w:r w:rsidR="003421AF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6F54B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1</w:t>
      </w:r>
      <w:r w:rsidR="003421AF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8-ի N </w:t>
      </w:r>
      <w:r w:rsidR="006F54B4" w:rsidRPr="008D5778">
        <w:rPr>
          <w:rFonts w:ascii="GHEA Grapalat" w:eastAsia="Times New Roman" w:hAnsi="GHEA Grapalat" w:cs="Arial"/>
          <w:sz w:val="24"/>
          <w:szCs w:val="24"/>
          <w:lang w:val="hy-AM"/>
        </w:rPr>
        <w:t>N 1902-Լ որոշմամբ հաստատված հավելված 1-ի «Առողջապահության նախարարություն» բաժնի</w:t>
      </w:r>
      <w:r w:rsidR="006F54B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1.1</w:t>
      </w:r>
      <w:r w:rsidR="003421AF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-րդ կետով նախատեսված միջոցառման</w:t>
      </w:r>
      <w:r w:rsidR="006E0A4C" w:rsidRPr="008D5778">
        <w:rPr>
          <w:rFonts w:ascii="GHEA Grapalat" w:hAnsi="GHEA Grapalat" w:cs="Arial"/>
          <w:sz w:val="24"/>
          <w:szCs w:val="24"/>
          <w:lang w:val="hy-AM"/>
        </w:rPr>
        <w:t>:</w:t>
      </w:r>
      <w:r w:rsidR="003421AF" w:rsidRPr="008D577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6E0A4C" w:rsidRPr="008D5778">
        <w:rPr>
          <w:rFonts w:ascii="GHEA Grapalat" w:hAnsi="GHEA Grapalat" w:cs="Arial"/>
          <w:sz w:val="24"/>
          <w:szCs w:val="24"/>
          <w:lang w:val="hy-AM"/>
        </w:rPr>
        <w:t xml:space="preserve"> մշակումը պայմանավորված է </w:t>
      </w:r>
      <w:r w:rsidR="00D361CC" w:rsidRPr="008D5778">
        <w:rPr>
          <w:rFonts w:ascii="GHEA Grapalat" w:hAnsi="GHEA Grapalat" w:cs="Arial"/>
          <w:sz w:val="24"/>
          <w:szCs w:val="24"/>
          <w:lang w:val="hy-AM"/>
        </w:rPr>
        <w:t xml:space="preserve">քաղաքացիների առողջապահական ծառայությունների հասանելիության և մատչելիության ապահովման համար բժշկական ապահովագրության այնպիսի համակարգի հետևողականորեն ներդրման անհրաժեշտությամբ, որը </w:t>
      </w:r>
      <w:r w:rsidR="00357426" w:rsidRPr="008D5778">
        <w:rPr>
          <w:rFonts w:ascii="GHEA Grapalat" w:hAnsi="GHEA Grapalat" w:cs="Arial"/>
          <w:sz w:val="24"/>
          <w:szCs w:val="24"/>
          <w:lang w:val="hy-AM"/>
        </w:rPr>
        <w:t xml:space="preserve">կապահովի </w:t>
      </w:r>
      <w:r w:rsidR="00D361CC" w:rsidRPr="008D5778">
        <w:rPr>
          <w:rFonts w:ascii="GHEA Grapalat" w:hAnsi="GHEA Grapalat" w:cs="Arial"/>
          <w:sz w:val="24"/>
          <w:szCs w:val="24"/>
          <w:lang w:val="hy-AM"/>
        </w:rPr>
        <w:t xml:space="preserve">բժշկական օգնության և սպասարկման անհրաժեշտություն ունեցող յուրաքանչյուր քաղաքացու պատշաճ և ժամանակին </w:t>
      </w:r>
      <w:r w:rsidR="00357426" w:rsidRPr="008D5778">
        <w:rPr>
          <w:rFonts w:ascii="GHEA Grapalat" w:hAnsi="GHEA Grapalat" w:cs="Arial"/>
          <w:sz w:val="24"/>
          <w:szCs w:val="24"/>
          <w:lang w:val="hy-AM"/>
        </w:rPr>
        <w:t>ծառայությունների տրամադրումը</w:t>
      </w:r>
      <w:r w:rsidR="00D361CC" w:rsidRPr="008D5778">
        <w:rPr>
          <w:rFonts w:ascii="GHEA Grapalat" w:hAnsi="GHEA Grapalat" w:cs="Arial"/>
          <w:sz w:val="24"/>
          <w:szCs w:val="24"/>
          <w:lang w:val="hy-AM"/>
        </w:rPr>
        <w:t xml:space="preserve">՝ անկախ </w:t>
      </w:r>
      <w:r w:rsidR="006F54B4" w:rsidRPr="008D5778">
        <w:rPr>
          <w:rFonts w:ascii="GHEA Grapalat" w:hAnsi="GHEA Grapalat" w:cs="Arial"/>
          <w:sz w:val="24"/>
          <w:szCs w:val="24"/>
          <w:lang w:val="hy-AM"/>
        </w:rPr>
        <w:t xml:space="preserve">վճարունակությունից, </w:t>
      </w:r>
      <w:r w:rsidR="00D361CC" w:rsidRPr="008D5778">
        <w:rPr>
          <w:rFonts w:ascii="GHEA Grapalat" w:hAnsi="GHEA Grapalat" w:cs="Arial"/>
          <w:sz w:val="24"/>
          <w:szCs w:val="24"/>
          <w:lang w:val="hy-AM"/>
        </w:rPr>
        <w:t>սեռից, տարիքից, բնակության վայրից և սոցիալական կարգավիճակից</w:t>
      </w:r>
      <w:r w:rsidR="007956B0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14:paraId="378AF65A" w14:textId="5D9AF043" w:rsidR="009E4C96" w:rsidRPr="008D5778" w:rsidRDefault="007956B0" w:rsidP="00B13970">
      <w:pPr>
        <w:pStyle w:val="BodyText"/>
        <w:tabs>
          <w:tab w:val="left" w:pos="720"/>
        </w:tabs>
        <w:spacing w:after="0" w:line="360" w:lineRule="auto"/>
        <w:ind w:firstLine="851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Հայաստանի առողջապահության ֆինանսավորման համակարգի գնահատման միջազգային համեմատականները և ծախսարդյունավետ ծրագրերի մասով դիտարկումները ցույց են տալիս, որ համապատասխան ֆինանսական միջոցների պայմաններում առողջապահության համակարգը գործում է արդյունավետ և հնարավորություն է տալիս գրանցել բարելավվող ոչ ֆինանսական ցուցանիշներ՝ կյանքի միջին տևողության աճի, մայրական մահացության, երեխաների մահացության նվազման տեսքով: </w:t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>Սակայն երբ դիտարկում ենք այն միջոցները, որոնց հաշվին ապահովվում են այդ ցուցանիշները, ապա նկատելի է, որ Հայաստանը ունի Եվրոպայի և Կենտրոնական Ասիայի շատ երկրների համեմատ ցածր պետական ֆինանսավորում՝</w:t>
      </w:r>
      <w:r w:rsidR="00B1397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վերջին 25 տարիների ընթացքում ապահովելով առողջապահության </w:t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lastRenderedPageBreak/>
        <w:t xml:space="preserve">բնագավառի մասով համախմբված բյուջեի ծախսերի 5.4%-ը կամ ՀՆԱ-ում շուրջ 1,4%-ը, որն առնվազն </w:t>
      </w:r>
      <w:r w:rsidR="009E4C96" w:rsidRPr="00B13970">
        <w:rPr>
          <w:rFonts w:ascii="GHEA Grapalat" w:eastAsia="GHEA Grapalat" w:hAnsi="GHEA Grapalat" w:cs="Arial"/>
          <w:sz w:val="24"/>
          <w:szCs w:val="24"/>
          <w:lang w:val="hy-AM"/>
        </w:rPr>
        <w:t>4</w:t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 անգամ պակաս է Հայաստանի հետ միևնույն եկամտային խմբում գտնվող երկրների միջին ցուցանիշներից</w:t>
      </w:r>
      <w:r w:rsidR="009E4C96" w:rsidRPr="008D5778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1"/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>։</w:t>
      </w:r>
      <w:r w:rsidR="009E4C96" w:rsidRPr="00B1397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>Ոչ բավարար չափով ֆինանսավորումը բերել է ծառայությունների մատուցման համակարգի մասնատման, իրական ծախսերից ցածր փոխհատուցվող գների, բժշկական մասնագիտացված անձնակազմի բացակայությանը մարզերում: Ֆինանսական մատչելիության ցածր մակարդակը բերել է բժշկական կազմակերպությունների թերի ծանրաբեռնվածությանը և ֆինանսական պատճառներով ոչ աղքատ բնակչության 12,6%-ը, աղքատների 24,5%-ը և ծայրահեղ աղքատների 49%-ը չի հաճախում ԱԱՊ բժշկի</w:t>
      </w:r>
      <w:r w:rsidR="009E4C96" w:rsidRPr="008D5778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2"/>
      </w:r>
      <w:r w:rsidR="009E4C96" w:rsidRPr="008D5778">
        <w:rPr>
          <w:rFonts w:ascii="GHEA Grapalat" w:eastAsia="GHEA Grapalat" w:hAnsi="GHEA Grapalat" w:cs="Arial"/>
          <w:sz w:val="24"/>
          <w:szCs w:val="24"/>
          <w:lang w:val="hy-AM"/>
        </w:rPr>
        <w:t>:</w:t>
      </w:r>
    </w:p>
    <w:p w14:paraId="3C10BCEB" w14:textId="77777777" w:rsidR="009E4C96" w:rsidRPr="008D5778" w:rsidRDefault="009E4C96" w:rsidP="00B13970">
      <w:pPr>
        <w:spacing w:after="0" w:line="360" w:lineRule="auto"/>
        <w:ind w:firstLine="851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bookmarkStart w:id="0" w:name="_Hlk122081979"/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Առողջապահության պետական ֆինանսական միջոցների պակասը և գրպանից դուրս կատարվող ծախսերի անկառավարելիությունը, </w:t>
      </w:r>
      <w:bookmarkEnd w:id="0"/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>խոչընդոտում են համակարգի զարգացմանը և բժշկական օգնության և սպասարկման որակի բարելավմանը, նպաստում է բազմաթիվ ընտանիքների աղքատացման առողջապահական աղետալի ծախսերի պատճառով, խոչընդոտում է բժշկական օգնության և սպասարկման ծառայությունների հասանելիության և ֆինանսական մատչելիության բարելավմանը: Տնային տնտեսությունների եկամուտներից առողջապահական ծախսերին 10%-ից ավելին ուղղելու ցուցանիշով (16.1%), Հայաստանը գերազանցում է համաշխարհային (12.7%) և տարածաշրջանային (7.4%) միջին ցուցանիշները: Բնակչության շուրջ 9%-ի մոտ սպառողական ծախսերի ավելի քան 25%-ը կազմում են առողջապահական ծախսերը, որի հետևանքով վերջիններիս շուրջ 6%-ը աղքատանում է՝ ինչն ամենաբարձր ցուցանիշներից մեկն է տարածաշրջանում</w:t>
      </w:r>
      <w:r w:rsidRPr="008D5778">
        <w:rPr>
          <w:rStyle w:val="FootnoteReference"/>
          <w:rFonts w:ascii="GHEA Grapalat" w:eastAsia="GHEA Grapalat" w:hAnsi="GHEA Grapalat" w:cs="Arial"/>
          <w:sz w:val="24"/>
          <w:szCs w:val="24"/>
          <w:lang w:val="hy-AM"/>
        </w:rPr>
        <w:footnoteReference w:id="3"/>
      </w:r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>:</w:t>
      </w:r>
      <w:r w:rsidRPr="00B13970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</w:p>
    <w:p w14:paraId="28262F60" w14:textId="6C600E47" w:rsidR="009E4C96" w:rsidRPr="008D5778" w:rsidRDefault="009E4C96" w:rsidP="00B13970">
      <w:pPr>
        <w:spacing w:after="0" w:line="360" w:lineRule="auto"/>
        <w:ind w:firstLine="851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Միջազգային փորձի տեսանկյունից բազմաթիվ երկրներ վաղուց ներդրել են առողջապահական ծախսերի խառը ֆինանսավորման համակարգ՝ բժշկական պարտադիր ապահովագրություն, և ներկայումս նրանց հիմնական ռազմավարական խնդիրն է համընդհանուր ծածկույթի ապահովումը բնակչության բոլոր խմբերի </w:t>
      </w:r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lastRenderedPageBreak/>
        <w:t>համար։</w:t>
      </w:r>
      <w:r w:rsidRPr="008D5778">
        <w:rPr>
          <w:rFonts w:ascii="GHEA Grapalat" w:hAnsi="GHEA Grapalat" w:cs="Arial"/>
          <w:sz w:val="24"/>
          <w:szCs w:val="24"/>
          <w:lang w:val="hy-AM"/>
        </w:rPr>
        <w:t xml:space="preserve"> Այս տեսանկյունից, Հայաստանը նույնպես պետք է կիրառի առողջապահական արդյունավետ համակարգեր ունեցող երկրների փորձը` </w:t>
      </w:r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>ապահովելով բնակչության ֆինանսական հասանելիությունը և պաշտպանվածությունը հիմնական ծառայությունների փաթեթում ընդգրկված ծառայություններ ստանալիս, կրճատելով բժշկական օգնության և սպասարկման ծառայությունների դիմաց կատարվող աղետալի ծախսերը և դրա հետևանքով աղքատացող բնակչության թվաքանակը, բարձրացնելով առողջապահության բնագավառում ծախսվող գումարների արդյունավետությունն ու նպատակայնությունը և բարելավվելով բժշկական օգնության և սպասարկման որակը։</w:t>
      </w:r>
    </w:p>
    <w:p w14:paraId="53438D99" w14:textId="5BF43B68" w:rsidR="00B34CCA" w:rsidRPr="008D5778" w:rsidRDefault="00B34CCA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</w:p>
    <w:p w14:paraId="2931B8EC" w14:textId="7000BEF0" w:rsidR="00920E30" w:rsidRPr="008D5778" w:rsidRDefault="00920E30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8D5778">
        <w:rPr>
          <w:rFonts w:ascii="GHEA Grapalat" w:eastAsia="GHEA Grapalat" w:hAnsi="GHEA Grapalat" w:cs="Arial"/>
          <w:b/>
          <w:sz w:val="24"/>
          <w:szCs w:val="24"/>
          <w:lang w:val="hy-AM"/>
        </w:rPr>
        <w:tab/>
        <w:t>2.</w:t>
      </w:r>
      <w:r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D60AC2" w:rsidRPr="008D5778">
        <w:rPr>
          <w:rFonts w:ascii="GHEA Grapalat" w:hAnsi="GHEA Grapalat" w:cs="Arial"/>
          <w:b/>
          <w:i/>
          <w:sz w:val="24"/>
          <w:szCs w:val="24"/>
          <w:lang w:val="hy-AM"/>
        </w:rPr>
        <w:t>.</w:t>
      </w:r>
    </w:p>
    <w:p w14:paraId="39785905" w14:textId="47F69976" w:rsidR="00A77B95" w:rsidRPr="008D5778" w:rsidRDefault="000C5001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9E4C96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ԱՀԱ ներդրման հիմնական նպատակը բնակչության բոլոր խմբերի համար առողջապահական հիմնական ծառայությունների ֆինանսական հասանելիության ապահովումն է:</w:t>
      </w:r>
      <w:r w:rsidR="009E4C96" w:rsidRPr="00B1397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Հայեցակարգը պետք է հիմք հանդիսանա առողջապահության նախարարության կողմից իրականացվող </w:t>
      </w:r>
      <w:r w:rsidR="00357426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համալիր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միջոցառումների հայեցակարգային մոտեցումները ամրագրելու, առողջության համապարփակ ապահովագրության մասին օրենքը, այլ հարակից օրենսդրական փոփոխությունները մշակելու և 202</w:t>
      </w:r>
      <w:r w:rsidR="009E4C96" w:rsidRPr="00B13970">
        <w:rPr>
          <w:rFonts w:ascii="GHEA Grapalat" w:hAnsi="GHEA Grapalat" w:cs="Arial"/>
          <w:color w:val="000000"/>
          <w:sz w:val="24"/>
          <w:szCs w:val="24"/>
          <w:lang w:val="hy-AM"/>
        </w:rPr>
        <w:t>4</w:t>
      </w: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թ</w:t>
      </w: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վական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ից առողջության համապարփակ ապահովագրությ</w:t>
      </w:r>
      <w:r w:rsidR="009E4C96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ա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9E4C96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փուլային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ներդ</w:t>
      </w:r>
      <w:r w:rsidR="009E4C96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րումն ապահովելու</w:t>
      </w:r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համար</w:t>
      </w:r>
      <w:bookmarkStart w:id="1" w:name="_GoBack"/>
      <w:bookmarkEnd w:id="1"/>
      <w:r w:rsidR="00D361CC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14:paraId="0C3FEC12" w14:textId="5CB28DA3" w:rsidR="00920E30" w:rsidRPr="008D5778" w:rsidRDefault="00C16C19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D5778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3. Նախագծի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920E30" w:rsidRPr="008D57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0E30" w:rsidRPr="008D5778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14:paraId="58FBD900" w14:textId="72F1A714" w:rsidR="006F614E" w:rsidRPr="008D5778" w:rsidRDefault="000C5001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D5778">
        <w:rPr>
          <w:rFonts w:ascii="GHEA Grapalat" w:hAnsi="GHEA Grapalat" w:cs="Arial"/>
          <w:sz w:val="24"/>
          <w:szCs w:val="24"/>
          <w:lang w:val="hy-AM"/>
        </w:rPr>
        <w:tab/>
      </w:r>
      <w:r w:rsidR="00920E30" w:rsidRPr="008D5778">
        <w:rPr>
          <w:rFonts w:ascii="GHEA Grapalat" w:hAnsi="GHEA Grapalat" w:cs="Arial"/>
          <w:sz w:val="24"/>
          <w:szCs w:val="24"/>
          <w:lang w:val="hy-AM"/>
        </w:rPr>
        <w:t>Ն</w:t>
      </w:r>
      <w:r w:rsidR="00007420" w:rsidRPr="008D5778">
        <w:rPr>
          <w:rFonts w:ascii="GHEA Grapalat" w:hAnsi="GHEA Grapalat" w:cs="Arial"/>
          <w:sz w:val="24"/>
          <w:szCs w:val="24"/>
          <w:lang w:val="hy-AM"/>
        </w:rPr>
        <w:t>ախագիծը</w:t>
      </w:r>
      <w:r w:rsidR="00007420" w:rsidRPr="008D577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07420" w:rsidRPr="008D5778">
        <w:rPr>
          <w:rFonts w:ascii="GHEA Grapalat" w:hAnsi="GHEA Grapalat" w:cs="Arial"/>
          <w:sz w:val="24"/>
          <w:szCs w:val="24"/>
          <w:lang w:val="hy-AM"/>
        </w:rPr>
        <w:t>մշակվել</w:t>
      </w:r>
      <w:r w:rsidR="00007420" w:rsidRPr="008D577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007420" w:rsidRPr="008D5778">
        <w:rPr>
          <w:rFonts w:ascii="GHEA Grapalat" w:hAnsi="GHEA Grapalat" w:cs="Arial"/>
          <w:sz w:val="24"/>
          <w:szCs w:val="24"/>
          <w:lang w:val="hy-AM"/>
        </w:rPr>
        <w:t>է</w:t>
      </w:r>
      <w:r w:rsidR="00007420" w:rsidRPr="008D577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F614E" w:rsidRPr="008D5778">
        <w:rPr>
          <w:rFonts w:ascii="GHEA Grapalat" w:hAnsi="GHEA Grapalat" w:cs="Arial"/>
          <w:sz w:val="24"/>
          <w:szCs w:val="24"/>
          <w:lang w:val="hy-AM"/>
        </w:rPr>
        <w:t>առողջապահության նախարարությունում ձևավորված աշխատանքային խմբի կողմից</w:t>
      </w:r>
      <w:r w:rsidR="00007420" w:rsidRPr="008D5778">
        <w:rPr>
          <w:rFonts w:ascii="GHEA Grapalat" w:hAnsi="GHEA Grapalat" w:cs="Arial"/>
          <w:sz w:val="24"/>
          <w:szCs w:val="24"/>
          <w:lang w:val="af-ZA"/>
        </w:rPr>
        <w:t>:</w:t>
      </w:r>
    </w:p>
    <w:p w14:paraId="4F6FA232" w14:textId="4141D7D4" w:rsidR="00920E30" w:rsidRPr="002F289D" w:rsidRDefault="00C16C19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F289D">
        <w:rPr>
          <w:rFonts w:ascii="GHEA Grapalat" w:hAnsi="GHEA Grapalat" w:cs="Arial"/>
          <w:b/>
          <w:sz w:val="24"/>
          <w:szCs w:val="24"/>
          <w:lang w:val="hy-AM"/>
        </w:rPr>
        <w:tab/>
      </w:r>
      <w:r w:rsidR="00920E30" w:rsidRPr="002F289D">
        <w:rPr>
          <w:rFonts w:ascii="GHEA Grapalat" w:hAnsi="GHEA Grapalat" w:cs="Arial"/>
          <w:b/>
          <w:sz w:val="24"/>
          <w:szCs w:val="24"/>
          <w:lang w:val="hy-AM"/>
        </w:rPr>
        <w:t xml:space="preserve">4. </w:t>
      </w:r>
      <w:r w:rsidR="00007420" w:rsidRPr="002F289D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="00007420" w:rsidRPr="002F289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007420" w:rsidRPr="002F289D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  <w:r w:rsidR="00920E30" w:rsidRPr="002F289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50C0BA14" w14:textId="0F4EA30B" w:rsidR="006F614E" w:rsidRPr="008D5778" w:rsidRDefault="000C5001" w:rsidP="00B1397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851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6F614E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Առողջության համապարփակ ապահովագրության ներդրման հիմնական արդյունքը </w:t>
      </w:r>
      <w:r w:rsidR="007C6DF4" w:rsidRPr="008D5778">
        <w:rPr>
          <w:rFonts w:ascii="GHEA Grapalat" w:eastAsia="GHEA Grapalat" w:hAnsi="GHEA Grapalat" w:cs="Arial"/>
          <w:sz w:val="24"/>
          <w:szCs w:val="24"/>
          <w:lang w:val="hy-AM"/>
        </w:rPr>
        <w:t xml:space="preserve">հիվանդացության և մահացության ցուցանիշների բարելավումն է, կյանքի միջին տևողության ավելացումը, </w:t>
      </w:r>
      <w:r w:rsidR="007C6DF4" w:rsidRPr="008D577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առողջական խնդիրների հետևանքով հաշմանդամություն ունեցող անձանց թվաքանակի նվազումը</w:t>
      </w:r>
      <w:r w:rsidR="007C6DF4" w:rsidRPr="008D5778">
        <w:rPr>
          <w:rFonts w:ascii="GHEA Grapalat" w:eastAsia="GHEA Grapalat" w:hAnsi="GHEA Grapalat" w:cs="Arial"/>
          <w:sz w:val="24"/>
          <w:szCs w:val="24"/>
          <w:lang w:val="hy-AM"/>
        </w:rPr>
        <w:t>,</w:t>
      </w:r>
      <w:r w:rsidR="007C6DF4"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ինչը կնպաստի մարդկային կապիտալի կայուն զարգացմանը և տնտեսության աճին:</w:t>
      </w:r>
    </w:p>
    <w:p w14:paraId="0EBFAB9B" w14:textId="7D274189" w:rsidR="002A298C" w:rsidRPr="008D5778" w:rsidRDefault="00C16C19" w:rsidP="00B13970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5778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 xml:space="preserve">5. </w:t>
      </w:r>
      <w:r w:rsidR="002A298C" w:rsidRPr="008D5778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3E216D7C" w14:textId="77777777" w:rsidR="002A298C" w:rsidRPr="008D5778" w:rsidRDefault="002A298C" w:rsidP="00B13970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2DDF3CDB" w14:textId="77777777" w:rsidR="008D5778" w:rsidRDefault="002A298C" w:rsidP="00B13970">
      <w:pPr>
        <w:spacing w:after="0" w:line="360" w:lineRule="auto"/>
        <w:ind w:firstLine="851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8D5778">
        <w:rPr>
          <w:rFonts w:ascii="GHEA Grapalat" w:eastAsia="GHEA Grapalat" w:hAnsi="GHEA Grapalat" w:cs="GHEA Grapalat"/>
          <w:b/>
          <w:sz w:val="24"/>
          <w:szCs w:val="24"/>
          <w:lang w:val="hy-AM"/>
        </w:rPr>
        <w:t>6.</w:t>
      </w:r>
      <w:r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D5778">
        <w:rPr>
          <w:rFonts w:ascii="GHEA Grapalat" w:hAnsi="GHEA Grapalat" w:cs="Calibri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B572D4A" w14:textId="2515436E" w:rsidR="00D60AC2" w:rsidRPr="008D5778" w:rsidRDefault="002A298C" w:rsidP="00B13970">
      <w:pPr>
        <w:spacing w:after="0" w:line="360" w:lineRule="auto"/>
        <w:ind w:firstLine="851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 նախագիծը բխում է Կառավարության 2021-2026 թվականների գործունեության ծրագրի կատարումն ապահովող միջոցառումների ցանկի Հավելված 1-ի «Առողջապահության նախարարություն» բաժնի 1.1 կետից, ինչպես նաև «ՀՀ Առողջապահության համակարգի հնգամյա ծրագրի</w:t>
      </w:r>
      <w:r w:rsidRPr="008D5778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Pr="008D5778">
        <w:rPr>
          <w:rFonts w:ascii="GHEA Grapalat" w:eastAsiaTheme="minorHAnsi" w:hAnsi="GHEA Grapalat"/>
          <w:sz w:val="24"/>
          <w:szCs w:val="24"/>
          <w:lang w:val="hy-AM"/>
        </w:rPr>
        <w:t>(202</w:t>
      </w:r>
      <w:r w:rsidR="007C6DF4" w:rsidRPr="00B13970">
        <w:rPr>
          <w:rFonts w:ascii="GHEA Grapalat" w:eastAsiaTheme="minorHAnsi" w:hAnsi="GHEA Grapalat"/>
          <w:sz w:val="24"/>
          <w:szCs w:val="24"/>
          <w:lang w:val="hy-AM"/>
        </w:rPr>
        <w:t>2</w:t>
      </w:r>
      <w:r w:rsidRPr="008D5778">
        <w:rPr>
          <w:rFonts w:ascii="GHEA Grapalat" w:eastAsiaTheme="minorHAnsi" w:hAnsi="GHEA Grapalat"/>
          <w:sz w:val="24"/>
          <w:szCs w:val="24"/>
          <w:lang w:val="hy-AM"/>
        </w:rPr>
        <w:t>-202</w:t>
      </w:r>
      <w:r w:rsidR="007C6DF4" w:rsidRPr="00B13970">
        <w:rPr>
          <w:rFonts w:ascii="GHEA Grapalat" w:eastAsiaTheme="minorHAnsi" w:hAnsi="GHEA Grapalat"/>
          <w:sz w:val="24"/>
          <w:szCs w:val="24"/>
          <w:lang w:val="hy-AM"/>
        </w:rPr>
        <w:t>6</w:t>
      </w:r>
      <w:r w:rsidRPr="008D5778">
        <w:rPr>
          <w:rFonts w:ascii="GHEA Grapalat" w:eastAsiaTheme="minorHAnsi" w:hAnsi="GHEA Grapalat"/>
          <w:sz w:val="24"/>
          <w:szCs w:val="24"/>
          <w:lang w:val="hy-AM"/>
        </w:rPr>
        <w:t xml:space="preserve"> թվականներ)</w:t>
      </w:r>
      <w:r w:rsidR="00B13970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Pr="008D5778">
        <w:rPr>
          <w:rFonts w:ascii="GHEA Grapalat" w:eastAsiaTheme="minorHAnsi" w:hAnsi="GHEA Grapalat"/>
          <w:sz w:val="24"/>
          <w:szCs w:val="24"/>
          <w:lang w:val="hy-AM"/>
        </w:rPr>
        <w:t>զարգացման ռազմավարությունը և դրանից բխող միջոցառումների ցանկը հաստատելու մասին</w:t>
      </w:r>
      <w:r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» Կառավարության որոշման նախագծից:</w:t>
      </w:r>
      <w:r w:rsidR="000C5001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60AC2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Բացի այդ, նախագիծը կապված է նաև «Հայաստանի վերափոխման ռազմավարություն 2050» փաստաթղթի հետ, որի 4-րդ մեգանպատակը վերաբերում է առողջության պահպանմանը:</w:t>
      </w:r>
      <w:r w:rsidR="00D60AC2" w:rsidRPr="008D5778">
        <w:rPr>
          <w:rFonts w:eastAsia="GHEA Grapalat" w:cs="Calibri"/>
          <w:sz w:val="24"/>
          <w:szCs w:val="24"/>
          <w:lang w:val="hy-AM"/>
        </w:rPr>
        <w:t> </w:t>
      </w:r>
      <w:r w:rsidR="00D60AC2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Առողջության համապարփակ ապահովագրության ներդրման հիմնական նպատակը </w:t>
      </w:r>
      <w:r w:rsidR="007C6DF4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բնակչության բոլոր խմբերի համար առողջապահական հիմնական ծառայությունների ֆինանսական հասանելիության ապահովումն է</w:t>
      </w:r>
      <w:r w:rsidR="00D60AC2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, ինչն էլ իր հերթին կոչված կլինի ապահովելու բնակչության առողջության պահպանումը</w:t>
      </w:r>
      <w:r w:rsidR="000C5001" w:rsidRPr="008D5778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sectPr w:rsidR="00D60AC2" w:rsidRPr="008D5778" w:rsidSect="00B13970">
      <w:footerReference w:type="default" r:id="rId8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415F" w14:textId="77777777" w:rsidR="00126315" w:rsidRDefault="00126315" w:rsidP="00C91B42">
      <w:pPr>
        <w:spacing w:after="0" w:line="240" w:lineRule="auto"/>
      </w:pPr>
      <w:r>
        <w:separator/>
      </w:r>
    </w:p>
  </w:endnote>
  <w:endnote w:type="continuationSeparator" w:id="0">
    <w:p w14:paraId="1E2F04A2" w14:textId="77777777" w:rsidR="00126315" w:rsidRDefault="00126315" w:rsidP="00C9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887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9104C" w14:textId="57785AA3" w:rsidR="002132A8" w:rsidRDefault="00213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68A484" w14:textId="77777777" w:rsidR="002132A8" w:rsidRDefault="00213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E7B6" w14:textId="77777777" w:rsidR="00126315" w:rsidRDefault="00126315" w:rsidP="00C91B42">
      <w:pPr>
        <w:spacing w:after="0" w:line="240" w:lineRule="auto"/>
      </w:pPr>
      <w:r>
        <w:separator/>
      </w:r>
    </w:p>
  </w:footnote>
  <w:footnote w:type="continuationSeparator" w:id="0">
    <w:p w14:paraId="2D785332" w14:textId="77777777" w:rsidR="00126315" w:rsidRDefault="00126315" w:rsidP="00C91B42">
      <w:pPr>
        <w:spacing w:after="0" w:line="240" w:lineRule="auto"/>
      </w:pPr>
      <w:r>
        <w:continuationSeparator/>
      </w:r>
    </w:p>
  </w:footnote>
  <w:footnote w:id="1">
    <w:p w14:paraId="19E7E0AD" w14:textId="77777777" w:rsidR="009E4C96" w:rsidRPr="00BC278E" w:rsidRDefault="009E4C96" w:rsidP="009E4C96">
      <w:pPr>
        <w:pStyle w:val="FootnoteText"/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BC278E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BC278E">
        <w:rPr>
          <w:rFonts w:ascii="GHEA Grapalat" w:hAnsi="GHEA Grapalat"/>
          <w:sz w:val="16"/>
          <w:szCs w:val="16"/>
          <w:lang w:val="hy-AM"/>
        </w:rPr>
        <w:t xml:space="preserve"> Համաձայն ԱՀԿ տվյալների բազայի, </w:t>
      </w:r>
      <w:r>
        <w:rPr>
          <w:rFonts w:ascii="GHEA Grapalat" w:hAnsi="GHEA Grapalat"/>
          <w:sz w:val="16"/>
          <w:szCs w:val="16"/>
          <w:lang w:val="hy-AM"/>
        </w:rPr>
        <w:t xml:space="preserve">Հայաստանի հետ միևնույն եկամտային խմբում գտնվող երկրներում պետական առողջապահական ծախսերը ՀՆԱ-ում միջինում </w:t>
      </w:r>
      <w:r w:rsidRPr="00A16E77">
        <w:rPr>
          <w:rFonts w:ascii="GHEA Grapalat" w:hAnsi="GHEA Grapalat"/>
          <w:sz w:val="16"/>
          <w:szCs w:val="16"/>
          <w:lang w:val="hy-AM"/>
        </w:rPr>
        <w:t>4-6%</w:t>
      </w:r>
      <w:r>
        <w:rPr>
          <w:rFonts w:ascii="GHEA Grapalat" w:hAnsi="GHEA Grapalat"/>
          <w:sz w:val="16"/>
          <w:szCs w:val="16"/>
          <w:lang w:val="hy-AM"/>
        </w:rPr>
        <w:t xml:space="preserve"> են կազմում</w:t>
      </w:r>
    </w:p>
  </w:footnote>
  <w:footnote w:id="2">
    <w:p w14:paraId="6FA31A2C" w14:textId="77777777" w:rsidR="009E4C96" w:rsidRPr="00C92AF8" w:rsidRDefault="009E4C96" w:rsidP="009E4C9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16E77">
        <w:rPr>
          <w:lang w:val="hy-AM"/>
        </w:rPr>
        <w:t xml:space="preserve"> </w:t>
      </w:r>
      <w:r>
        <w:rPr>
          <w:lang w:val="hy-AM"/>
        </w:rPr>
        <w:t xml:space="preserve">Տնային </w:t>
      </w:r>
      <w:r>
        <w:rPr>
          <w:lang w:val="hy-AM"/>
        </w:rPr>
        <w:t xml:space="preserve">տնտեսությունների կենսամակարդակի ամբողջացված հետազոտություն, </w:t>
      </w:r>
      <w:r w:rsidRPr="00A16E77">
        <w:rPr>
          <w:lang w:val="hy-AM"/>
        </w:rPr>
        <w:t>2019</w:t>
      </w:r>
      <w:r>
        <w:rPr>
          <w:lang w:val="hy-AM"/>
        </w:rPr>
        <w:t>թ</w:t>
      </w:r>
    </w:p>
  </w:footnote>
  <w:footnote w:id="3">
    <w:p w14:paraId="5F2FF535" w14:textId="77777777" w:rsidR="009E4C96" w:rsidRPr="00A22407" w:rsidRDefault="009E4C96" w:rsidP="009E4C96">
      <w:pPr>
        <w:pStyle w:val="FootnoteText"/>
        <w:spacing w:line="240" w:lineRule="auto"/>
        <w:rPr>
          <w:lang w:val="hy-AM"/>
        </w:rPr>
      </w:pPr>
      <w:r w:rsidRPr="00BC278E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BC278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C278E">
        <w:rPr>
          <w:rFonts w:ascii="GHEA Grapalat" w:hAnsi="GHEA Grapalat"/>
          <w:sz w:val="16"/>
          <w:szCs w:val="16"/>
          <w:lang w:val="hy-AM"/>
        </w:rPr>
        <w:t>Տնային տնտեսությունների կենսամակարդակի ամբողջացված հետազոտություն, 2018թ.: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585"/>
    <w:multiLevelType w:val="hybridMultilevel"/>
    <w:tmpl w:val="9366323E"/>
    <w:lvl w:ilvl="0" w:tplc="04190005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05954443"/>
    <w:multiLevelType w:val="hybridMultilevel"/>
    <w:tmpl w:val="199E02D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C0277C"/>
    <w:multiLevelType w:val="hybridMultilevel"/>
    <w:tmpl w:val="4A28671A"/>
    <w:lvl w:ilvl="0" w:tplc="D6A40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097"/>
    <w:multiLevelType w:val="hybridMultilevel"/>
    <w:tmpl w:val="996C653A"/>
    <w:lvl w:ilvl="0" w:tplc="DA3E3D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7058"/>
    <w:multiLevelType w:val="hybridMultilevel"/>
    <w:tmpl w:val="6E82F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95BDB"/>
    <w:multiLevelType w:val="hybridMultilevel"/>
    <w:tmpl w:val="7A6CF0E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441ED"/>
    <w:multiLevelType w:val="hybridMultilevel"/>
    <w:tmpl w:val="6AC810AE"/>
    <w:lvl w:ilvl="0" w:tplc="34C494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474969"/>
    <w:multiLevelType w:val="hybridMultilevel"/>
    <w:tmpl w:val="C8308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25826"/>
    <w:multiLevelType w:val="hybridMultilevel"/>
    <w:tmpl w:val="C9F444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4555D1"/>
    <w:multiLevelType w:val="hybridMultilevel"/>
    <w:tmpl w:val="DC320828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0BCA"/>
    <w:multiLevelType w:val="hybridMultilevel"/>
    <w:tmpl w:val="AF8E6A04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322452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228CA"/>
    <w:multiLevelType w:val="hybridMultilevel"/>
    <w:tmpl w:val="26F0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01305"/>
    <w:multiLevelType w:val="hybridMultilevel"/>
    <w:tmpl w:val="ACFA6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128B5"/>
    <w:multiLevelType w:val="hybridMultilevel"/>
    <w:tmpl w:val="0186ED90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6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B"/>
    <w:rsid w:val="00005A4F"/>
    <w:rsid w:val="00007420"/>
    <w:rsid w:val="0001461F"/>
    <w:rsid w:val="00036297"/>
    <w:rsid w:val="00042249"/>
    <w:rsid w:val="00063199"/>
    <w:rsid w:val="000735F8"/>
    <w:rsid w:val="00074CCC"/>
    <w:rsid w:val="00091B33"/>
    <w:rsid w:val="000A5DA5"/>
    <w:rsid w:val="000C0892"/>
    <w:rsid w:val="000C5001"/>
    <w:rsid w:val="000D1527"/>
    <w:rsid w:val="000D3CAD"/>
    <w:rsid w:val="0010764B"/>
    <w:rsid w:val="00126315"/>
    <w:rsid w:val="00136DD9"/>
    <w:rsid w:val="00156102"/>
    <w:rsid w:val="001706B4"/>
    <w:rsid w:val="001742B4"/>
    <w:rsid w:val="00182572"/>
    <w:rsid w:val="001849E9"/>
    <w:rsid w:val="001A52DC"/>
    <w:rsid w:val="001D1F31"/>
    <w:rsid w:val="001E5A33"/>
    <w:rsid w:val="001F270A"/>
    <w:rsid w:val="002132A8"/>
    <w:rsid w:val="0024663E"/>
    <w:rsid w:val="00282294"/>
    <w:rsid w:val="00282D7F"/>
    <w:rsid w:val="002A298C"/>
    <w:rsid w:val="002B408F"/>
    <w:rsid w:val="002B4397"/>
    <w:rsid w:val="002B515B"/>
    <w:rsid w:val="002D0777"/>
    <w:rsid w:val="002F289D"/>
    <w:rsid w:val="00300CC7"/>
    <w:rsid w:val="00305839"/>
    <w:rsid w:val="003139F1"/>
    <w:rsid w:val="00317235"/>
    <w:rsid w:val="00325A83"/>
    <w:rsid w:val="003421AF"/>
    <w:rsid w:val="00357426"/>
    <w:rsid w:val="00363A48"/>
    <w:rsid w:val="00385609"/>
    <w:rsid w:val="00393CD3"/>
    <w:rsid w:val="003B193A"/>
    <w:rsid w:val="003D163C"/>
    <w:rsid w:val="0040491B"/>
    <w:rsid w:val="00405B79"/>
    <w:rsid w:val="004265C6"/>
    <w:rsid w:val="004764D3"/>
    <w:rsid w:val="004778CA"/>
    <w:rsid w:val="004967C8"/>
    <w:rsid w:val="004B69F1"/>
    <w:rsid w:val="004D291F"/>
    <w:rsid w:val="004E7F25"/>
    <w:rsid w:val="00502EF3"/>
    <w:rsid w:val="00547C1E"/>
    <w:rsid w:val="005563B4"/>
    <w:rsid w:val="00580F01"/>
    <w:rsid w:val="005866AC"/>
    <w:rsid w:val="005A68BF"/>
    <w:rsid w:val="005C1A0E"/>
    <w:rsid w:val="005F0AC0"/>
    <w:rsid w:val="006000F5"/>
    <w:rsid w:val="0060450C"/>
    <w:rsid w:val="006368CF"/>
    <w:rsid w:val="0064417D"/>
    <w:rsid w:val="00652E74"/>
    <w:rsid w:val="00654EFD"/>
    <w:rsid w:val="006A244A"/>
    <w:rsid w:val="006D3ED9"/>
    <w:rsid w:val="006D5BB8"/>
    <w:rsid w:val="006E0A4C"/>
    <w:rsid w:val="006F4A01"/>
    <w:rsid w:val="006F54B4"/>
    <w:rsid w:val="006F614E"/>
    <w:rsid w:val="00766001"/>
    <w:rsid w:val="007956B0"/>
    <w:rsid w:val="007B5D1B"/>
    <w:rsid w:val="007B6EF4"/>
    <w:rsid w:val="007C6DF4"/>
    <w:rsid w:val="007E0B64"/>
    <w:rsid w:val="007F0971"/>
    <w:rsid w:val="008043F6"/>
    <w:rsid w:val="0080655E"/>
    <w:rsid w:val="00830BDC"/>
    <w:rsid w:val="00865AE3"/>
    <w:rsid w:val="008867C7"/>
    <w:rsid w:val="008A0FBB"/>
    <w:rsid w:val="008D5778"/>
    <w:rsid w:val="008F33CA"/>
    <w:rsid w:val="008F56C2"/>
    <w:rsid w:val="00903E54"/>
    <w:rsid w:val="00920E30"/>
    <w:rsid w:val="00922017"/>
    <w:rsid w:val="00940F89"/>
    <w:rsid w:val="00941286"/>
    <w:rsid w:val="00946934"/>
    <w:rsid w:val="009508B0"/>
    <w:rsid w:val="009628F7"/>
    <w:rsid w:val="00981CF1"/>
    <w:rsid w:val="00992D3A"/>
    <w:rsid w:val="009A79E9"/>
    <w:rsid w:val="009B7BF8"/>
    <w:rsid w:val="009C43E2"/>
    <w:rsid w:val="009D60C1"/>
    <w:rsid w:val="009E4C96"/>
    <w:rsid w:val="009F0685"/>
    <w:rsid w:val="009F72E9"/>
    <w:rsid w:val="00A06F98"/>
    <w:rsid w:val="00A11A1C"/>
    <w:rsid w:val="00A12AD6"/>
    <w:rsid w:val="00A33464"/>
    <w:rsid w:val="00A34877"/>
    <w:rsid w:val="00A36A2F"/>
    <w:rsid w:val="00A420D0"/>
    <w:rsid w:val="00A52E16"/>
    <w:rsid w:val="00A55415"/>
    <w:rsid w:val="00A5586E"/>
    <w:rsid w:val="00A71476"/>
    <w:rsid w:val="00A77B95"/>
    <w:rsid w:val="00A83E8A"/>
    <w:rsid w:val="00A852F9"/>
    <w:rsid w:val="00A93A71"/>
    <w:rsid w:val="00A948AA"/>
    <w:rsid w:val="00AB2BD8"/>
    <w:rsid w:val="00AD2E6E"/>
    <w:rsid w:val="00B10E5B"/>
    <w:rsid w:val="00B13970"/>
    <w:rsid w:val="00B16E8C"/>
    <w:rsid w:val="00B22870"/>
    <w:rsid w:val="00B30E1A"/>
    <w:rsid w:val="00B34CCA"/>
    <w:rsid w:val="00B50197"/>
    <w:rsid w:val="00BA5BC9"/>
    <w:rsid w:val="00BB05CB"/>
    <w:rsid w:val="00BC0A31"/>
    <w:rsid w:val="00BF1C9E"/>
    <w:rsid w:val="00BF6C63"/>
    <w:rsid w:val="00C11E33"/>
    <w:rsid w:val="00C16C19"/>
    <w:rsid w:val="00C419DA"/>
    <w:rsid w:val="00C51A0D"/>
    <w:rsid w:val="00C70C4F"/>
    <w:rsid w:val="00C72150"/>
    <w:rsid w:val="00C72AB1"/>
    <w:rsid w:val="00C74EDA"/>
    <w:rsid w:val="00C764E1"/>
    <w:rsid w:val="00C81689"/>
    <w:rsid w:val="00C8180E"/>
    <w:rsid w:val="00C8446E"/>
    <w:rsid w:val="00C84ACA"/>
    <w:rsid w:val="00C91B42"/>
    <w:rsid w:val="00CA0FBA"/>
    <w:rsid w:val="00CA64F6"/>
    <w:rsid w:val="00CB59D3"/>
    <w:rsid w:val="00CB751D"/>
    <w:rsid w:val="00CD1C17"/>
    <w:rsid w:val="00CE7445"/>
    <w:rsid w:val="00D31639"/>
    <w:rsid w:val="00D35E26"/>
    <w:rsid w:val="00D361CC"/>
    <w:rsid w:val="00D60AC2"/>
    <w:rsid w:val="00D74DEB"/>
    <w:rsid w:val="00D92375"/>
    <w:rsid w:val="00D935F6"/>
    <w:rsid w:val="00DA3008"/>
    <w:rsid w:val="00DA4397"/>
    <w:rsid w:val="00DC43F3"/>
    <w:rsid w:val="00DD3EF6"/>
    <w:rsid w:val="00DE65AA"/>
    <w:rsid w:val="00DF0B2B"/>
    <w:rsid w:val="00DF717A"/>
    <w:rsid w:val="00E07396"/>
    <w:rsid w:val="00E205B2"/>
    <w:rsid w:val="00E25B2F"/>
    <w:rsid w:val="00E261E7"/>
    <w:rsid w:val="00E33E5A"/>
    <w:rsid w:val="00E3581B"/>
    <w:rsid w:val="00E41168"/>
    <w:rsid w:val="00E60686"/>
    <w:rsid w:val="00E67932"/>
    <w:rsid w:val="00E81EF8"/>
    <w:rsid w:val="00E876EC"/>
    <w:rsid w:val="00E90436"/>
    <w:rsid w:val="00EA0A5A"/>
    <w:rsid w:val="00EB6BEE"/>
    <w:rsid w:val="00F10D89"/>
    <w:rsid w:val="00F20B45"/>
    <w:rsid w:val="00F22402"/>
    <w:rsid w:val="00F31CA3"/>
    <w:rsid w:val="00F80DF1"/>
    <w:rsid w:val="00F86634"/>
    <w:rsid w:val="00FC5F0F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EA03"/>
  <w15:docId w15:val="{1FFE48F9-B76E-4CC8-8F9A-CB16B78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4DEB"/>
    <w:pPr>
      <w:spacing w:after="12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BodyTextChar">
    <w:name w:val="Body Text Char"/>
    <w:link w:val="BodyText"/>
    <w:rsid w:val="00D74DEB"/>
    <w:rPr>
      <w:rFonts w:ascii="Times New Roman" w:eastAsia="Batang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rsid w:val="002B43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397"/>
  </w:style>
  <w:style w:type="paragraph" w:styleId="BodyText2">
    <w:name w:val="Body Text 2"/>
    <w:basedOn w:val="Normal"/>
    <w:link w:val="BodyText2Char"/>
    <w:rsid w:val="002B4397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2Char">
    <w:name w:val="Body Text 2 Char"/>
    <w:link w:val="BodyText2"/>
    <w:rsid w:val="002B43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B22870"/>
    <w:pPr>
      <w:tabs>
        <w:tab w:val="left" w:pos="680"/>
        <w:tab w:val="center" w:pos="4677"/>
        <w:tab w:val="right" w:pos="9355"/>
      </w:tabs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HeaderChar">
    <w:name w:val="Header Char"/>
    <w:link w:val="Header"/>
    <w:rsid w:val="00B22870"/>
    <w:rPr>
      <w:rFonts w:ascii="Sylfaen" w:eastAsia="Times New Roman" w:hAnsi="Sylfaen"/>
      <w:sz w:val="24"/>
      <w:szCs w:val="24"/>
      <w:lang w:eastAsia="ru-RU"/>
    </w:rPr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6E0A4C"/>
    <w:pPr>
      <w:ind w:left="720"/>
      <w:contextualSpacing/>
    </w:p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34"/>
    <w:qFormat/>
    <w:locked/>
    <w:rsid w:val="006E0A4C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E0A4C"/>
    <w:rPr>
      <w:b/>
      <w:bCs/>
    </w:rPr>
  </w:style>
  <w:style w:type="character" w:customStyle="1" w:styleId="mechtexChar">
    <w:name w:val="mechtex Char"/>
    <w:link w:val="mechtex"/>
    <w:uiPriority w:val="99"/>
    <w:locked/>
    <w:rsid w:val="006E0A4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6E0A4C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956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56B0"/>
    <w:pPr>
      <w:spacing w:line="259" w:lineRule="auto"/>
      <w:outlineLvl w:val="9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6F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noteText">
    <w:name w:val="footnote text"/>
    <w:aliases w:val="single space,footnote text,fn,FOOTNOTES,ADB,ADB Char,single space Char Char,footnote text Char,fn Char"/>
    <w:basedOn w:val="Normal"/>
    <w:link w:val="FootnoteTextChar1"/>
    <w:uiPriority w:val="99"/>
    <w:semiHidden/>
    <w:rsid w:val="00C91B42"/>
    <w:pPr>
      <w:spacing w:after="0" w:line="408" w:lineRule="auto"/>
      <w:ind w:left="-720" w:firstLine="360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uiPriority w:val="99"/>
    <w:semiHidden/>
    <w:rsid w:val="00C91B42"/>
  </w:style>
  <w:style w:type="character" w:customStyle="1" w:styleId="FootnoteTextChar1">
    <w:name w:val="Footnote Text Char1"/>
    <w:aliases w:val="single space Char,footnote text Char1,fn Char1,FOOTNOTES Char,ADB Char1,ADB Char Char,single space Char Char Char,footnote text Char Char,fn Char Char"/>
    <w:basedOn w:val="DefaultParagraphFont"/>
    <w:link w:val="FootnoteText"/>
    <w:uiPriority w:val="99"/>
    <w:semiHidden/>
    <w:rsid w:val="00C91B42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rsid w:val="00C91B4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1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A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E9BC-AB53-431B-99B4-B20D9A51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JRTNTPETKOM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Mkrtumyan</dc:creator>
  <cp:keywords>https:/mul-moh.gov.am/tasks/docs/attachment.php?id=330810&amp;fn=02_ardir-himnavor.docx&amp;out=0&amp;token=</cp:keywords>
  <cp:lastModifiedBy>MOH</cp:lastModifiedBy>
  <cp:revision>3</cp:revision>
  <dcterms:created xsi:type="dcterms:W3CDTF">2023-01-11T11:20:00Z</dcterms:created>
  <dcterms:modified xsi:type="dcterms:W3CDTF">2023-01-11T11:27:00Z</dcterms:modified>
</cp:coreProperties>
</file>