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60EE" w14:textId="77777777" w:rsidR="00A90F8F" w:rsidRDefault="00A90F8F" w:rsidP="00C06AF5">
      <w:pPr>
        <w:spacing w:line="360" w:lineRule="auto"/>
        <w:jc w:val="center"/>
        <w:rPr>
          <w:rFonts w:ascii="GHEA Grapalat" w:hAnsi="GHEA Grapalat"/>
          <w:sz w:val="24"/>
          <w:szCs w:val="24"/>
        </w:rPr>
      </w:pPr>
    </w:p>
    <w:p w14:paraId="77ECE186" w14:textId="04B1F799" w:rsidR="00C06AF5" w:rsidRPr="003B1DDA" w:rsidRDefault="00C06AF5" w:rsidP="00C06AF5">
      <w:pPr>
        <w:spacing w:line="360" w:lineRule="auto"/>
        <w:jc w:val="center"/>
        <w:rPr>
          <w:rFonts w:ascii="GHEA Grapalat" w:hAnsi="GHEA Grapalat"/>
          <w:sz w:val="24"/>
          <w:szCs w:val="24"/>
        </w:rPr>
      </w:pPr>
      <w:r w:rsidRPr="003B1DDA">
        <w:rPr>
          <w:rFonts w:ascii="GHEA Grapalat" w:hAnsi="GHEA Grapalat"/>
          <w:sz w:val="24"/>
          <w:szCs w:val="24"/>
        </w:rPr>
        <w:t>ԱՄՓՈՓԱԹԵՐԹ</w:t>
      </w:r>
    </w:p>
    <w:p w14:paraId="1D39CA8C" w14:textId="5B876E26" w:rsidR="00A90F8F" w:rsidRDefault="00720460" w:rsidP="00F900BA">
      <w:pPr>
        <w:spacing w:line="360" w:lineRule="auto"/>
        <w:jc w:val="center"/>
        <w:rPr>
          <w:rFonts w:ascii="GHEA Grapalat" w:eastAsia="NSimSun" w:hAnsi="GHEA Grapalat" w:cs="Sylfaen"/>
          <w:kern w:val="2"/>
          <w:sz w:val="24"/>
          <w:szCs w:val="24"/>
          <w:lang w:val="hy-AM" w:eastAsia="zh-CN" w:bidi="hi-IN"/>
        </w:rPr>
      </w:pPr>
      <w:r w:rsidRPr="00720460">
        <w:rPr>
          <w:rFonts w:ascii="GHEA Grapalat" w:eastAsia="NSimSun" w:hAnsi="GHEA Grapalat" w:cs="Sylfaen"/>
          <w:kern w:val="2"/>
          <w:sz w:val="24"/>
          <w:szCs w:val="24"/>
          <w:lang w:val="hy-AM" w:eastAsia="zh-CN" w:bidi="hi-IN"/>
        </w:rPr>
        <w:t xml:space="preserve">«ՎԵՐԱՄՇԱԿՈՒՄ՝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 </w:t>
      </w:r>
      <w:r w:rsidR="0081443E" w:rsidRPr="0081443E">
        <w:rPr>
          <w:rFonts w:ascii="GHEA Grapalat" w:eastAsia="NSimSun" w:hAnsi="GHEA Grapalat" w:cs="Sylfaen"/>
          <w:kern w:val="2"/>
          <w:sz w:val="24"/>
          <w:szCs w:val="24"/>
          <w:lang w:val="hy-AM" w:eastAsia="zh-CN" w:bidi="hi-IN"/>
        </w:rPr>
        <w:t xml:space="preserve"> ՀՀ ԿԱՌԱՎԱՐՈՒԹՅԱՆ ՈՐՈՇՄԱՆ ՆԱԽԱԳԾԻ </w:t>
      </w:r>
    </w:p>
    <w:p w14:paraId="4A942EEE" w14:textId="026F7F3C" w:rsidR="00A90F8F" w:rsidRDefault="00A90F8F" w:rsidP="00F900BA">
      <w:pPr>
        <w:spacing w:line="360" w:lineRule="auto"/>
        <w:jc w:val="center"/>
        <w:rPr>
          <w:lang w:val="hy-AM"/>
        </w:rPr>
      </w:pPr>
    </w:p>
    <w:p w14:paraId="0A70D730" w14:textId="77777777" w:rsidR="00994B27" w:rsidRPr="00676E4C" w:rsidRDefault="00994B27" w:rsidP="00F900BA">
      <w:pPr>
        <w:spacing w:line="360" w:lineRule="auto"/>
        <w:jc w:val="center"/>
        <w:rPr>
          <w:lang w:val="hy-AM"/>
        </w:rPr>
      </w:pPr>
    </w:p>
    <w:tbl>
      <w:tblPr>
        <w:tblW w:w="1399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0"/>
        <w:gridCol w:w="52"/>
        <w:gridCol w:w="4752"/>
        <w:gridCol w:w="2025"/>
      </w:tblGrid>
      <w:tr w:rsidR="00C06AF5" w:rsidRPr="003B1DDA" w14:paraId="6BE56CB3" w14:textId="77777777" w:rsidTr="0086253F">
        <w:trPr>
          <w:tblCellSpacing w:w="0" w:type="dxa"/>
          <w:jc w:val="center"/>
        </w:trPr>
        <w:tc>
          <w:tcPr>
            <w:tcW w:w="1197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44B2A7BC" w14:textId="77777777" w:rsidR="00C06AF5" w:rsidRPr="003B1DDA" w:rsidRDefault="00C06AF5" w:rsidP="000E0FD5">
            <w:pPr>
              <w:spacing w:line="360" w:lineRule="auto"/>
              <w:rPr>
                <w:rFonts w:ascii="GHEA Grapalat" w:hAnsi="GHEA Grapalat"/>
                <w:sz w:val="24"/>
                <w:szCs w:val="24"/>
                <w:lang w:val="hy-AM"/>
              </w:rPr>
            </w:pPr>
            <w:bookmarkStart w:id="0" w:name="_Hlk88664691"/>
          </w:p>
          <w:p w14:paraId="14D9B662" w14:textId="291F0A34" w:rsidR="00C06AF5" w:rsidRPr="003B1DDA" w:rsidRDefault="0086253F" w:rsidP="00D74BBA">
            <w:pPr>
              <w:spacing w:line="360" w:lineRule="auto"/>
              <w:jc w:val="center"/>
              <w:rPr>
                <w:rFonts w:ascii="GHEA Grapalat" w:hAnsi="GHEA Grapalat"/>
                <w:sz w:val="24"/>
                <w:szCs w:val="24"/>
                <w:lang w:val="hy-AM"/>
              </w:rPr>
            </w:pPr>
            <w:r>
              <w:rPr>
                <w:rFonts w:ascii="GHEA Grapalat" w:hAnsi="GHEA Grapalat"/>
                <w:sz w:val="24"/>
                <w:szCs w:val="24"/>
                <w:lang w:val="hy-AM"/>
              </w:rPr>
              <w:t>1</w:t>
            </w:r>
            <w:r>
              <w:rPr>
                <w:rFonts w:ascii="Cambria Math" w:hAnsi="Cambria Math"/>
                <w:sz w:val="24"/>
                <w:szCs w:val="24"/>
                <w:lang w:val="hy-AM"/>
              </w:rPr>
              <w:t xml:space="preserve">․ </w:t>
            </w:r>
            <w:r w:rsidR="00D74BBA" w:rsidRPr="00D74BBA">
              <w:rPr>
                <w:rFonts w:ascii="GHEA Grapalat" w:hAnsi="GHEA Grapalat"/>
                <w:sz w:val="24"/>
                <w:szCs w:val="24"/>
                <w:lang w:val="hy-AM"/>
              </w:rPr>
              <w:t xml:space="preserve">ՀՀ </w:t>
            </w:r>
            <w:r w:rsidR="00DC02B4">
              <w:rPr>
                <w:rFonts w:ascii="GHEA Grapalat" w:hAnsi="GHEA Grapalat"/>
                <w:sz w:val="24"/>
                <w:szCs w:val="24"/>
                <w:lang w:val="hy-AM"/>
              </w:rPr>
              <w:t>ֆինանսների նախարարություն</w:t>
            </w: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7F369455" w14:textId="1C2668E7" w:rsidR="00C06AF5" w:rsidRPr="0045039B" w:rsidRDefault="00F1271C" w:rsidP="000E0FD5">
            <w:pPr>
              <w:spacing w:line="360" w:lineRule="auto"/>
              <w:jc w:val="center"/>
              <w:rPr>
                <w:rFonts w:ascii="GHEA Grapalat" w:hAnsi="GHEA Grapalat"/>
                <w:sz w:val="24"/>
                <w:szCs w:val="24"/>
                <w:lang w:val="hy-AM"/>
              </w:rPr>
            </w:pPr>
            <w:r w:rsidRPr="00F1271C">
              <w:rPr>
                <w:rFonts w:ascii="GHEA Grapalat" w:hAnsi="GHEA Grapalat" w:cs="Cambria Math"/>
                <w:sz w:val="24"/>
                <w:szCs w:val="24"/>
                <w:lang w:val="hy-AM"/>
              </w:rPr>
              <w:t>16</w:t>
            </w:r>
            <w:r w:rsidR="008900C7" w:rsidRPr="00F1271C">
              <w:rPr>
                <w:rFonts w:ascii="Cambria Math" w:hAnsi="Cambria Math" w:cs="Cambria Math"/>
                <w:sz w:val="24"/>
                <w:szCs w:val="24"/>
                <w:lang w:val="hy-AM"/>
              </w:rPr>
              <w:t>․</w:t>
            </w:r>
            <w:r w:rsidR="00B5207E" w:rsidRPr="00F1271C">
              <w:rPr>
                <w:rFonts w:ascii="GHEA Grapalat" w:hAnsi="GHEA Grapalat" w:cs="Cambria Math"/>
                <w:sz w:val="24"/>
                <w:szCs w:val="24"/>
                <w:lang w:val="hy-AM"/>
              </w:rPr>
              <w:t>1</w:t>
            </w:r>
            <w:r w:rsidRPr="00F1271C">
              <w:rPr>
                <w:rFonts w:ascii="GHEA Grapalat" w:hAnsi="GHEA Grapalat" w:cs="Cambria Math"/>
                <w:sz w:val="24"/>
                <w:szCs w:val="24"/>
                <w:lang w:val="hy-AM"/>
              </w:rPr>
              <w:t>2</w:t>
            </w:r>
            <w:r w:rsidR="008900C7" w:rsidRPr="00F1271C">
              <w:rPr>
                <w:rFonts w:ascii="Cambria Math" w:hAnsi="Cambria Math" w:cs="Cambria Math"/>
                <w:sz w:val="24"/>
                <w:szCs w:val="24"/>
                <w:lang w:val="hy-AM"/>
              </w:rPr>
              <w:t>․</w:t>
            </w:r>
            <w:r w:rsidR="008900C7" w:rsidRPr="00F1271C">
              <w:rPr>
                <w:rFonts w:ascii="GHEA Grapalat" w:hAnsi="GHEA Grapalat"/>
                <w:sz w:val="24"/>
                <w:szCs w:val="24"/>
                <w:lang w:val="hy-AM"/>
              </w:rPr>
              <w:t>202</w:t>
            </w:r>
            <w:r w:rsidR="00C359A7" w:rsidRPr="00F1271C">
              <w:rPr>
                <w:rFonts w:ascii="GHEA Grapalat" w:hAnsi="GHEA Grapalat"/>
                <w:sz w:val="24"/>
                <w:szCs w:val="24"/>
                <w:lang w:val="hy-AM"/>
              </w:rPr>
              <w:t>2</w:t>
            </w:r>
            <w:r w:rsidR="008900C7" w:rsidRPr="00F1271C">
              <w:rPr>
                <w:rFonts w:ascii="GHEA Grapalat" w:hAnsi="GHEA Grapalat"/>
                <w:sz w:val="24"/>
                <w:szCs w:val="24"/>
                <w:lang w:val="hy-AM"/>
              </w:rPr>
              <w:t>թ</w:t>
            </w:r>
            <w:r w:rsidR="008900C7" w:rsidRPr="0045039B">
              <w:rPr>
                <w:rFonts w:ascii="Cambria Math" w:hAnsi="Cambria Math" w:cs="Cambria Math"/>
                <w:sz w:val="24"/>
                <w:szCs w:val="24"/>
                <w:lang w:val="hy-AM"/>
              </w:rPr>
              <w:t>․</w:t>
            </w:r>
          </w:p>
        </w:tc>
      </w:tr>
      <w:tr w:rsidR="00C06AF5" w:rsidRPr="003B1DDA" w14:paraId="0C043B9F" w14:textId="77777777" w:rsidTr="0086253F">
        <w:trPr>
          <w:trHeight w:val="376"/>
          <w:tblCellSpacing w:w="0" w:type="dxa"/>
          <w:jc w:val="center"/>
        </w:trPr>
        <w:tc>
          <w:tcPr>
            <w:tcW w:w="1197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87F78D" w14:textId="77777777" w:rsidR="00C06AF5" w:rsidRPr="003B1DDA" w:rsidRDefault="00C06AF5" w:rsidP="000E0FD5">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tcPr>
          <w:p w14:paraId="0A30C50D" w14:textId="5A3AA40F" w:rsidR="00C06AF5" w:rsidRPr="0045039B" w:rsidRDefault="008900C7" w:rsidP="000E0FD5">
            <w:pPr>
              <w:spacing w:line="360" w:lineRule="auto"/>
              <w:jc w:val="center"/>
              <w:rPr>
                <w:rFonts w:ascii="GHEA Grapalat" w:hAnsi="GHEA Grapalat"/>
                <w:sz w:val="24"/>
                <w:szCs w:val="24"/>
              </w:rPr>
            </w:pPr>
            <w:r w:rsidRPr="0045039B">
              <w:rPr>
                <w:rFonts w:ascii="GHEA Grapalat" w:hAnsi="GHEA Grapalat"/>
                <w:sz w:val="24"/>
                <w:szCs w:val="24"/>
              </w:rPr>
              <w:t>№</w:t>
            </w:r>
            <w:r w:rsidR="00C359A7" w:rsidRPr="0045039B">
              <w:rPr>
                <w:rFonts w:ascii="GHEA Grapalat" w:hAnsi="GHEA Grapalat"/>
              </w:rPr>
              <w:t xml:space="preserve"> </w:t>
            </w:r>
            <w:r w:rsidR="00F1271C" w:rsidRPr="00F1271C">
              <w:rPr>
                <w:rFonts w:ascii="GHEA Grapalat" w:hAnsi="GHEA Grapalat"/>
                <w:sz w:val="24"/>
                <w:szCs w:val="24"/>
              </w:rPr>
              <w:t>01/2-1/21864-2022</w:t>
            </w:r>
          </w:p>
        </w:tc>
      </w:tr>
      <w:bookmarkEnd w:id="0"/>
      <w:tr w:rsidR="00661268" w:rsidRPr="003B1DDA" w14:paraId="0BF4081C" w14:textId="3AB5ACEA" w:rsidTr="00661268">
        <w:trPr>
          <w:trHeight w:val="376"/>
          <w:tblCellSpacing w:w="0" w:type="dxa"/>
          <w:jc w:val="center"/>
        </w:trPr>
        <w:tc>
          <w:tcPr>
            <w:tcW w:w="7170" w:type="dxa"/>
            <w:tcBorders>
              <w:top w:val="outset" w:sz="6" w:space="0" w:color="auto"/>
              <w:left w:val="outset" w:sz="6" w:space="0" w:color="auto"/>
              <w:bottom w:val="outset" w:sz="6" w:space="0" w:color="auto"/>
              <w:right w:val="outset" w:sz="6" w:space="0" w:color="auto"/>
            </w:tcBorders>
            <w:shd w:val="clear" w:color="auto" w:fill="FFFFFF"/>
            <w:vAlign w:val="center"/>
          </w:tcPr>
          <w:p w14:paraId="0A0FB64C" w14:textId="77777777" w:rsidR="00F1271C" w:rsidRDefault="00F1271C" w:rsidP="00F1271C">
            <w:pPr>
              <w:spacing w:before="120"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Ս.թ. նոյեմբերի 28-ի Ձեր թիվ 01/18983-2022 գրությամբ ներ</w:t>
            </w:r>
            <w:r>
              <w:rPr>
                <w:rFonts w:ascii="GHEA Grapalat" w:hAnsi="GHEA Grapalat" w:cs="Sylfaen"/>
                <w:sz w:val="24"/>
                <w:szCs w:val="24"/>
                <w:lang w:val="hy-AM"/>
              </w:rPr>
              <w:softHyphen/>
              <w:t>կա</w:t>
            </w:r>
            <w:r>
              <w:rPr>
                <w:rFonts w:ascii="GHEA Grapalat" w:hAnsi="GHEA Grapalat" w:cs="Sylfaen"/>
                <w:sz w:val="24"/>
                <w:szCs w:val="24"/>
                <w:lang w:val="hy-AM"/>
              </w:rPr>
              <w:softHyphen/>
              <w:t>յա</w:t>
            </w:r>
            <w:r>
              <w:rPr>
                <w:rFonts w:ascii="GHEA Grapalat" w:hAnsi="GHEA Grapalat" w:cs="Sylfaen"/>
                <w:sz w:val="24"/>
                <w:szCs w:val="24"/>
                <w:lang w:val="hy-AM"/>
              </w:rPr>
              <w:softHyphen/>
            </w:r>
            <w:r>
              <w:rPr>
                <w:rFonts w:ascii="GHEA Grapalat" w:hAnsi="GHEA Grapalat" w:cs="Sylfaen"/>
                <w:sz w:val="24"/>
                <w:szCs w:val="24"/>
                <w:lang w:val="hy-AM"/>
              </w:rPr>
              <w:softHyphen/>
              <w:t>ց</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վա</w:t>
            </w:r>
            <w:r>
              <w:rPr>
                <w:rFonts w:ascii="GHEA Grapalat" w:hAnsi="GHEA Grapalat" w:cs="Sylfaen"/>
                <w:sz w:val="24"/>
                <w:szCs w:val="24"/>
                <w:lang w:val="hy-AM"/>
              </w:rPr>
              <w:softHyphen/>
              <w:t>ծ՝ Վերամշակում՝ մաք</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սային տարածքից դուրս» մաքսային ընթացակարգի կիրառմամբ Հայաստանի Հան</w:t>
            </w:r>
            <w:r>
              <w:rPr>
                <w:rFonts w:ascii="GHEA Grapalat" w:hAnsi="GHEA Grapalat" w:cs="Sylfaen"/>
                <w:sz w:val="24"/>
                <w:szCs w:val="24"/>
                <w:lang w:val="hy-AM"/>
              </w:rPr>
              <w:softHyphen/>
              <w:t>րա</w:t>
            </w:r>
            <w:r>
              <w:rPr>
                <w:rFonts w:ascii="GHEA Grapalat" w:hAnsi="GHEA Grapalat" w:cs="Sylfaen"/>
                <w:sz w:val="24"/>
                <w:szCs w:val="24"/>
                <w:lang w:val="hy-AM"/>
              </w:rPr>
              <w:softHyphen/>
              <w:t>պե</w:t>
            </w:r>
            <w:r>
              <w:rPr>
                <w:rFonts w:ascii="GHEA Grapalat" w:hAnsi="GHEA Grapalat" w:cs="Sylfaen"/>
                <w:sz w:val="24"/>
                <w:szCs w:val="24"/>
                <w:lang w:val="hy-AM"/>
              </w:rPr>
              <w:softHyphen/>
              <w:t>տու</w:t>
            </w:r>
            <w:r>
              <w:rPr>
                <w:rFonts w:ascii="GHEA Grapalat" w:hAnsi="GHEA Grapalat" w:cs="Sylfaen"/>
                <w:sz w:val="24"/>
                <w:szCs w:val="24"/>
                <w:lang w:val="hy-AM"/>
              </w:rPr>
              <w:softHyphen/>
            </w:r>
            <w:r>
              <w:rPr>
                <w:rFonts w:ascii="GHEA Grapalat" w:hAnsi="GHEA Grapalat" w:cs="Sylfaen"/>
                <w:sz w:val="24"/>
                <w:szCs w:val="24"/>
                <w:lang w:val="hy-AM"/>
              </w:rPr>
              <w:softHyphen/>
              <w:t>թյան տարածքից երրորդ երկրներ արտահանվող թանկարժեք մետաղների կամ թան</w:t>
            </w:r>
            <w:r>
              <w:rPr>
                <w:rFonts w:ascii="GHEA Grapalat" w:hAnsi="GHEA Grapalat" w:cs="Sylfaen"/>
                <w:sz w:val="24"/>
                <w:szCs w:val="24"/>
                <w:lang w:val="hy-AM"/>
              </w:rPr>
              <w:softHyphen/>
              <w:t>կար</w:t>
            </w:r>
            <w:r>
              <w:rPr>
                <w:rFonts w:ascii="GHEA Grapalat" w:hAnsi="GHEA Grapalat" w:cs="Sylfaen"/>
                <w:sz w:val="24"/>
                <w:szCs w:val="24"/>
                <w:lang w:val="hy-AM"/>
              </w:rPr>
              <w:softHyphen/>
              <w:t xml:space="preserve">ժեք մետաղներով պատված մետաղների նկատմամբ քվոտա սահմանելու մասին </w:t>
            </w:r>
            <w:r>
              <w:rPr>
                <w:rFonts w:ascii="GHEA Grapalat" w:hAnsi="GHEA Grapalat" w:cs="Sylfaen"/>
                <w:sz w:val="24"/>
                <w:szCs w:val="24"/>
                <w:lang w:val="hy-AM"/>
              </w:rPr>
              <w:lastRenderedPageBreak/>
              <w:t>ՀՀ կառա</w:t>
            </w:r>
            <w:r>
              <w:rPr>
                <w:rFonts w:ascii="GHEA Grapalat" w:hAnsi="GHEA Grapalat" w:cs="Sylfaen"/>
                <w:sz w:val="24"/>
                <w:szCs w:val="24"/>
                <w:lang w:val="hy-AM"/>
              </w:rPr>
              <w:softHyphen/>
              <w:t>վա</w:t>
            </w:r>
            <w:r>
              <w:rPr>
                <w:rFonts w:ascii="GHEA Grapalat" w:hAnsi="GHEA Grapalat" w:cs="Sylfaen"/>
                <w:sz w:val="24"/>
                <w:szCs w:val="24"/>
                <w:lang w:val="hy-AM"/>
              </w:rPr>
              <w:softHyphen/>
            </w:r>
            <w:r>
              <w:rPr>
                <w:rFonts w:ascii="GHEA Grapalat" w:hAnsi="GHEA Grapalat" w:cs="Sylfaen"/>
                <w:sz w:val="24"/>
                <w:szCs w:val="24"/>
                <w:lang w:val="hy-AM"/>
              </w:rPr>
              <w:softHyphen/>
              <w:t>րության որոշ</w:t>
            </w:r>
            <w:r>
              <w:rPr>
                <w:rFonts w:ascii="GHEA Grapalat" w:hAnsi="GHEA Grapalat" w:cs="Sylfaen"/>
                <w:sz w:val="24"/>
                <w:szCs w:val="24"/>
                <w:lang w:val="hy-AM"/>
              </w:rPr>
              <w:softHyphen/>
              <w:t>ման նախա</w:t>
            </w:r>
            <w:r>
              <w:rPr>
                <w:rFonts w:ascii="GHEA Grapalat" w:hAnsi="GHEA Grapalat" w:cs="Sylfaen"/>
                <w:sz w:val="24"/>
                <w:szCs w:val="24"/>
                <w:lang w:val="hy-AM"/>
              </w:rPr>
              <w:softHyphen/>
              <w:t>գծի (այսուհետ՝ Նախա</w:t>
            </w:r>
            <w:r>
              <w:rPr>
                <w:rFonts w:ascii="GHEA Grapalat" w:hAnsi="GHEA Grapalat" w:cs="Sylfaen"/>
                <w:sz w:val="24"/>
                <w:szCs w:val="24"/>
                <w:lang w:val="hy-AM"/>
              </w:rPr>
              <w:softHyphen/>
              <w:t>գիծ) վերա</w:t>
            </w:r>
            <w:r>
              <w:rPr>
                <w:rFonts w:ascii="GHEA Grapalat" w:hAnsi="GHEA Grapalat" w:cs="Sylfaen"/>
                <w:sz w:val="24"/>
                <w:szCs w:val="24"/>
                <w:lang w:val="hy-AM"/>
              </w:rPr>
              <w:softHyphen/>
              <w:t>բեր</w:t>
            </w:r>
            <w:r>
              <w:rPr>
                <w:rFonts w:ascii="GHEA Grapalat" w:hAnsi="GHEA Grapalat" w:cs="Sylfaen"/>
                <w:sz w:val="24"/>
                <w:szCs w:val="24"/>
                <w:lang w:val="hy-AM"/>
              </w:rPr>
              <w:softHyphen/>
              <w:t>յալ հայտնում ենք հետևյալը։</w:t>
            </w:r>
          </w:p>
          <w:p w14:paraId="17D147F8" w14:textId="77777777" w:rsidR="00F1271C" w:rsidRDefault="00F1271C" w:rsidP="00F1271C">
            <w:pPr>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Հաշվի առնելով այն հանգա</w:t>
            </w:r>
            <w:r>
              <w:rPr>
                <w:rFonts w:ascii="GHEA Grapalat" w:hAnsi="GHEA Grapalat" w:cs="Sylfaen"/>
                <w:sz w:val="24"/>
                <w:szCs w:val="24"/>
                <w:lang w:val="hy-AM"/>
              </w:rPr>
              <w:softHyphen/>
              <w:t>մանքը, որ ՀՀ Ազգային Ժողովի կողմից 2022 թվա</w:t>
            </w:r>
            <w:r>
              <w:rPr>
                <w:rFonts w:ascii="GHEA Grapalat" w:hAnsi="GHEA Grapalat" w:cs="Sylfaen"/>
                <w:sz w:val="24"/>
                <w:szCs w:val="24"/>
                <w:lang w:val="hy-AM"/>
              </w:rPr>
              <w:softHyphen/>
              <w:t>կանի սեպ</w:t>
            </w:r>
            <w:r>
              <w:rPr>
                <w:rFonts w:ascii="GHEA Grapalat" w:hAnsi="GHEA Grapalat" w:cs="Sylfaen"/>
                <w:sz w:val="24"/>
                <w:szCs w:val="24"/>
                <w:lang w:val="hy-AM"/>
              </w:rPr>
              <w:softHyphen/>
              <w:t>տեմ</w:t>
            </w:r>
            <w:r>
              <w:rPr>
                <w:rFonts w:ascii="GHEA Grapalat" w:hAnsi="GHEA Grapalat" w:cs="Sylfaen"/>
                <w:sz w:val="24"/>
                <w:szCs w:val="24"/>
                <w:lang w:val="hy-AM"/>
              </w:rPr>
              <w:softHyphen/>
            </w:r>
            <w:r>
              <w:rPr>
                <w:rFonts w:ascii="GHEA Grapalat" w:hAnsi="GHEA Grapalat" w:cs="Sylfaen"/>
                <w:sz w:val="24"/>
                <w:szCs w:val="24"/>
                <w:lang w:val="hy-AM"/>
              </w:rPr>
              <w:softHyphen/>
              <w:t>բերի 14-ին ըն</w:t>
            </w:r>
            <w:r>
              <w:rPr>
                <w:rFonts w:ascii="GHEA Grapalat" w:hAnsi="GHEA Grapalat" w:cs="Sylfaen"/>
                <w:sz w:val="24"/>
                <w:szCs w:val="24"/>
                <w:lang w:val="hy-AM"/>
              </w:rPr>
              <w:softHyphen/>
              <w:t>դուն</w:t>
            </w:r>
            <w:r>
              <w:rPr>
                <w:rFonts w:ascii="GHEA Grapalat" w:hAnsi="GHEA Grapalat" w:cs="Sylfaen"/>
                <w:sz w:val="24"/>
                <w:szCs w:val="24"/>
                <w:lang w:val="hy-AM"/>
              </w:rPr>
              <w:softHyphen/>
            </w:r>
            <w:r>
              <w:rPr>
                <w:rFonts w:ascii="GHEA Grapalat" w:hAnsi="GHEA Grapalat" w:cs="Sylfaen"/>
                <w:sz w:val="24"/>
                <w:szCs w:val="24"/>
                <w:lang w:val="hy-AM"/>
              </w:rPr>
              <w:softHyphen/>
              <w:t>վել է «Մաքսային կարգավորման մասին» ՀՀ օրենքը այսուհետ՝ Օրենք, որով ուժը կորց</w:t>
            </w:r>
            <w:r>
              <w:rPr>
                <w:rFonts w:ascii="GHEA Grapalat" w:hAnsi="GHEA Grapalat" w:cs="Sylfaen"/>
                <w:sz w:val="24"/>
                <w:szCs w:val="24"/>
                <w:lang w:val="hy-AM"/>
              </w:rPr>
              <w:softHyphen/>
              <w:t>րած է ճանաչվել «Մաքսային կարգավորման մասին» նախկին օրենքը և «Վերա</w:t>
            </w:r>
            <w:r>
              <w:rPr>
                <w:rFonts w:ascii="GHEA Grapalat" w:hAnsi="GHEA Grapalat" w:cs="Sylfaen"/>
                <w:sz w:val="24"/>
                <w:szCs w:val="24"/>
                <w:lang w:val="hy-AM"/>
              </w:rPr>
              <w:softHyphen/>
              <w:t>մշա</w:t>
            </w:r>
            <w:r>
              <w:rPr>
                <w:rFonts w:ascii="GHEA Grapalat" w:hAnsi="GHEA Grapalat" w:cs="Sylfaen"/>
                <w:sz w:val="24"/>
                <w:szCs w:val="24"/>
                <w:lang w:val="hy-AM"/>
              </w:rPr>
              <w:softHyphen/>
            </w:r>
            <w:r>
              <w:rPr>
                <w:rFonts w:ascii="GHEA Grapalat" w:hAnsi="GHEA Grapalat" w:cs="Sylfaen"/>
                <w:sz w:val="24"/>
                <w:szCs w:val="24"/>
                <w:lang w:val="hy-AM"/>
              </w:rPr>
              <w:softHyphen/>
            </w:r>
            <w:r>
              <w:rPr>
                <w:rFonts w:ascii="GHEA Grapalat" w:hAnsi="GHEA Grapalat" w:cs="Sylfaen"/>
                <w:sz w:val="24"/>
                <w:szCs w:val="24"/>
                <w:lang w:val="hy-AM"/>
              </w:rPr>
              <w:softHyphen/>
              <w:t>կում՝ մաքսային տարածքից դուրս» մաքսային ընթացակարգին վերաբերող դրույ</w:t>
            </w:r>
            <w:r>
              <w:rPr>
                <w:rFonts w:ascii="GHEA Grapalat" w:hAnsi="GHEA Grapalat" w:cs="Sylfaen"/>
                <w:sz w:val="24"/>
                <w:szCs w:val="24"/>
                <w:lang w:val="hy-AM"/>
              </w:rPr>
              <w:softHyphen/>
              <w:t>թ</w:t>
            </w:r>
            <w:r>
              <w:rPr>
                <w:rFonts w:ascii="GHEA Grapalat" w:hAnsi="GHEA Grapalat" w:cs="Sylfaen"/>
                <w:sz w:val="24"/>
                <w:szCs w:val="24"/>
                <w:lang w:val="hy-AM"/>
              </w:rPr>
              <w:softHyphen/>
            </w:r>
            <w:r>
              <w:rPr>
                <w:rFonts w:ascii="GHEA Grapalat" w:hAnsi="GHEA Grapalat" w:cs="Sylfaen"/>
                <w:sz w:val="24"/>
                <w:szCs w:val="24"/>
                <w:lang w:val="hy-AM"/>
              </w:rPr>
              <w:softHyphen/>
              <w:t>ները սահ</w:t>
            </w:r>
            <w:r>
              <w:rPr>
                <w:rFonts w:ascii="GHEA Grapalat" w:hAnsi="GHEA Grapalat" w:cs="Sylfaen"/>
                <w:sz w:val="24"/>
                <w:szCs w:val="24"/>
                <w:lang w:val="hy-AM"/>
              </w:rPr>
              <w:softHyphen/>
            </w:r>
            <w:r>
              <w:rPr>
                <w:rFonts w:ascii="GHEA Grapalat" w:hAnsi="GHEA Grapalat" w:cs="Sylfaen"/>
                <w:sz w:val="24"/>
                <w:szCs w:val="24"/>
                <w:lang w:val="hy-AM"/>
              </w:rPr>
              <w:softHyphen/>
              <w:t>մանված են Օրենքի 22-րդ գլխով՝ առաջարկում ենք Նախագծի նախա</w:t>
            </w:r>
            <w:r>
              <w:rPr>
                <w:rFonts w:ascii="GHEA Grapalat" w:hAnsi="GHEA Grapalat" w:cs="Sylfaen"/>
                <w:sz w:val="24"/>
                <w:szCs w:val="24"/>
                <w:lang w:val="hy-AM"/>
              </w:rPr>
              <w:softHyphen/>
              <w:t>բա</w:t>
            </w:r>
            <w:r>
              <w:rPr>
                <w:rFonts w:ascii="GHEA Grapalat" w:hAnsi="GHEA Grapalat" w:cs="Sylfaen"/>
                <w:sz w:val="24"/>
                <w:szCs w:val="24"/>
                <w:lang w:val="hy-AM"/>
              </w:rPr>
              <w:softHyphen/>
              <w:t>նում կատարել համա</w:t>
            </w:r>
            <w:r>
              <w:rPr>
                <w:rFonts w:ascii="GHEA Grapalat" w:hAnsi="GHEA Grapalat" w:cs="Sylfaen"/>
                <w:sz w:val="24"/>
                <w:szCs w:val="24"/>
                <w:lang w:val="hy-AM"/>
              </w:rPr>
              <w:softHyphen/>
              <w:t>պատասխան փոփոխություն:</w:t>
            </w:r>
          </w:p>
          <w:p w14:paraId="49639265" w14:textId="13AB1474" w:rsidR="00661268" w:rsidRPr="00DC02B4" w:rsidRDefault="00661268" w:rsidP="00977467">
            <w:pPr>
              <w:spacing w:line="360" w:lineRule="auto"/>
              <w:ind w:left="112" w:hanging="112"/>
              <w:jc w:val="both"/>
              <w:rPr>
                <w:rFonts w:ascii="GHEA Grapalat" w:hAnsi="GHEA Grapalat"/>
                <w:sz w:val="24"/>
                <w:szCs w:val="24"/>
                <w:lang w:val="hy-AM"/>
              </w:rPr>
            </w:pPr>
          </w:p>
        </w:tc>
        <w:tc>
          <w:tcPr>
            <w:tcW w:w="6829"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AF2649D" w14:textId="77777777" w:rsidR="00F1271C" w:rsidRDefault="00F1271C" w:rsidP="00206888">
            <w:pPr>
              <w:spacing w:line="360" w:lineRule="auto"/>
              <w:jc w:val="center"/>
              <w:rPr>
                <w:rFonts w:ascii="GHEA Grapalat" w:hAnsi="GHEA Grapalat"/>
                <w:sz w:val="24"/>
                <w:szCs w:val="24"/>
              </w:rPr>
            </w:pPr>
          </w:p>
          <w:p w14:paraId="00F5BEA9" w14:textId="77777777" w:rsidR="00F1271C" w:rsidRDefault="00F1271C" w:rsidP="00206888">
            <w:pPr>
              <w:spacing w:line="360" w:lineRule="auto"/>
              <w:jc w:val="center"/>
              <w:rPr>
                <w:rFonts w:ascii="GHEA Grapalat" w:hAnsi="GHEA Grapalat"/>
                <w:sz w:val="24"/>
                <w:szCs w:val="24"/>
              </w:rPr>
            </w:pPr>
          </w:p>
          <w:p w14:paraId="0E230CCA" w14:textId="77777777" w:rsidR="00F1271C" w:rsidRDefault="00F1271C" w:rsidP="00206888">
            <w:pPr>
              <w:spacing w:line="360" w:lineRule="auto"/>
              <w:jc w:val="center"/>
              <w:rPr>
                <w:rFonts w:ascii="GHEA Grapalat" w:hAnsi="GHEA Grapalat"/>
                <w:sz w:val="24"/>
                <w:szCs w:val="24"/>
              </w:rPr>
            </w:pPr>
          </w:p>
          <w:p w14:paraId="4A5032B2" w14:textId="77777777" w:rsidR="00F1271C" w:rsidRDefault="00F1271C" w:rsidP="00206888">
            <w:pPr>
              <w:spacing w:line="360" w:lineRule="auto"/>
              <w:jc w:val="center"/>
              <w:rPr>
                <w:rFonts w:ascii="GHEA Grapalat" w:hAnsi="GHEA Grapalat"/>
                <w:sz w:val="24"/>
                <w:szCs w:val="24"/>
              </w:rPr>
            </w:pPr>
          </w:p>
          <w:p w14:paraId="303BADD1" w14:textId="77777777" w:rsidR="00F1271C" w:rsidRDefault="00F1271C" w:rsidP="00206888">
            <w:pPr>
              <w:spacing w:line="360" w:lineRule="auto"/>
              <w:jc w:val="center"/>
              <w:rPr>
                <w:rFonts w:ascii="GHEA Grapalat" w:hAnsi="GHEA Grapalat"/>
                <w:sz w:val="24"/>
                <w:szCs w:val="24"/>
              </w:rPr>
            </w:pPr>
          </w:p>
          <w:p w14:paraId="054928A1" w14:textId="77777777" w:rsidR="00F1271C" w:rsidRDefault="00F1271C" w:rsidP="00206888">
            <w:pPr>
              <w:spacing w:line="360" w:lineRule="auto"/>
              <w:jc w:val="center"/>
              <w:rPr>
                <w:rFonts w:ascii="GHEA Grapalat" w:hAnsi="GHEA Grapalat"/>
                <w:sz w:val="24"/>
                <w:szCs w:val="24"/>
              </w:rPr>
            </w:pPr>
          </w:p>
          <w:p w14:paraId="6F69E993" w14:textId="77777777" w:rsidR="00F1271C" w:rsidRDefault="00F1271C" w:rsidP="00206888">
            <w:pPr>
              <w:spacing w:line="360" w:lineRule="auto"/>
              <w:jc w:val="center"/>
              <w:rPr>
                <w:rFonts w:ascii="GHEA Grapalat" w:hAnsi="GHEA Grapalat"/>
                <w:sz w:val="24"/>
                <w:szCs w:val="24"/>
              </w:rPr>
            </w:pPr>
          </w:p>
          <w:p w14:paraId="27F87764" w14:textId="77777777" w:rsidR="00F1271C" w:rsidRDefault="00F1271C" w:rsidP="00206888">
            <w:pPr>
              <w:spacing w:line="360" w:lineRule="auto"/>
              <w:jc w:val="center"/>
              <w:rPr>
                <w:rFonts w:ascii="GHEA Grapalat" w:hAnsi="GHEA Grapalat"/>
                <w:sz w:val="24"/>
                <w:szCs w:val="24"/>
              </w:rPr>
            </w:pPr>
          </w:p>
          <w:p w14:paraId="66B7613A" w14:textId="4D32912E" w:rsidR="00661268" w:rsidRDefault="00206888" w:rsidP="00206888">
            <w:pPr>
              <w:spacing w:line="360" w:lineRule="auto"/>
              <w:jc w:val="center"/>
              <w:rPr>
                <w:rFonts w:ascii="GHEA Grapalat" w:hAnsi="GHEA Grapalat"/>
                <w:sz w:val="24"/>
                <w:szCs w:val="24"/>
              </w:rPr>
            </w:pPr>
            <w:proofErr w:type="spellStart"/>
            <w:r w:rsidRPr="00206888">
              <w:rPr>
                <w:rFonts w:ascii="GHEA Grapalat" w:hAnsi="GHEA Grapalat"/>
                <w:sz w:val="24"/>
                <w:szCs w:val="24"/>
              </w:rPr>
              <w:t>Ընդունվել</w:t>
            </w:r>
            <w:proofErr w:type="spellEnd"/>
            <w:r w:rsidRPr="00206888">
              <w:rPr>
                <w:rFonts w:ascii="GHEA Grapalat" w:hAnsi="GHEA Grapalat"/>
                <w:sz w:val="24"/>
                <w:szCs w:val="24"/>
              </w:rPr>
              <w:t xml:space="preserve"> է</w:t>
            </w:r>
          </w:p>
        </w:tc>
      </w:tr>
      <w:tr w:rsidR="0086253F" w:rsidRPr="003B1DDA" w14:paraId="159FFE93" w14:textId="77777777" w:rsidTr="0003770B">
        <w:trPr>
          <w:tblCellSpacing w:w="0" w:type="dxa"/>
          <w:jc w:val="center"/>
        </w:trPr>
        <w:tc>
          <w:tcPr>
            <w:tcW w:w="1197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3FC3E057" w14:textId="77777777" w:rsidR="009841A5" w:rsidRDefault="009841A5" w:rsidP="0086253F">
            <w:pPr>
              <w:spacing w:line="360" w:lineRule="auto"/>
              <w:jc w:val="center"/>
              <w:rPr>
                <w:rFonts w:ascii="GHEA Grapalat" w:hAnsi="GHEA Grapalat"/>
                <w:sz w:val="24"/>
                <w:szCs w:val="24"/>
                <w:lang w:val="hy-AM"/>
              </w:rPr>
            </w:pPr>
            <w:bookmarkStart w:id="1" w:name="_Hlk88664852"/>
          </w:p>
          <w:p w14:paraId="1519D709" w14:textId="0CCD6C64" w:rsidR="0086253F" w:rsidRPr="003B1DDA" w:rsidRDefault="0086253F" w:rsidP="0086253F">
            <w:pPr>
              <w:spacing w:line="360" w:lineRule="auto"/>
              <w:jc w:val="center"/>
              <w:rPr>
                <w:rFonts w:ascii="GHEA Grapalat" w:hAnsi="GHEA Grapalat"/>
                <w:sz w:val="24"/>
                <w:szCs w:val="24"/>
                <w:lang w:val="hy-AM"/>
              </w:rPr>
            </w:pPr>
            <w:r>
              <w:rPr>
                <w:rFonts w:ascii="GHEA Grapalat" w:hAnsi="GHEA Grapalat"/>
                <w:sz w:val="24"/>
                <w:szCs w:val="24"/>
                <w:lang w:val="hy-AM"/>
              </w:rPr>
              <w:t>2</w:t>
            </w:r>
            <w:r w:rsidRPr="003B1DDA">
              <w:rPr>
                <w:rFonts w:ascii="GHEA Grapalat" w:hAnsi="GHEA Grapalat"/>
                <w:sz w:val="24"/>
                <w:szCs w:val="24"/>
              </w:rPr>
              <w:t xml:space="preserve">. </w:t>
            </w:r>
            <w:r w:rsidRPr="003B1DDA">
              <w:rPr>
                <w:rFonts w:ascii="GHEA Grapalat" w:hAnsi="GHEA Grapalat"/>
                <w:sz w:val="24"/>
                <w:szCs w:val="24"/>
                <w:lang w:val="hy-AM"/>
              </w:rPr>
              <w:t>ՀՀ պետական եկամուտների կոմիտե</w:t>
            </w:r>
            <w:r>
              <w:rPr>
                <w:rFonts w:ascii="GHEA Grapalat" w:hAnsi="GHEA Grapalat"/>
                <w:sz w:val="24"/>
                <w:szCs w:val="24"/>
              </w:rPr>
              <w:t xml:space="preserve"> </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1B5B38D5" w14:textId="5B134B54" w:rsidR="0086253F" w:rsidRPr="003038AC" w:rsidRDefault="00720460" w:rsidP="0086253F">
            <w:pPr>
              <w:spacing w:line="360" w:lineRule="auto"/>
              <w:rPr>
                <w:rFonts w:ascii="Cambria Math" w:hAnsi="Cambria Math"/>
                <w:sz w:val="24"/>
                <w:szCs w:val="24"/>
                <w:lang w:val="hy-AM"/>
              </w:rPr>
            </w:pPr>
            <w:r>
              <w:rPr>
                <w:rFonts w:ascii="GHEA Grapalat" w:hAnsi="GHEA Grapalat"/>
                <w:sz w:val="24"/>
                <w:szCs w:val="24"/>
                <w:lang w:val="hy-AM"/>
              </w:rPr>
              <w:t>06</w:t>
            </w:r>
            <w:r w:rsidR="0086253F">
              <w:rPr>
                <w:rFonts w:ascii="GHEA Grapalat" w:hAnsi="GHEA Grapalat"/>
                <w:sz w:val="24"/>
                <w:szCs w:val="24"/>
              </w:rPr>
              <w:t>.</w:t>
            </w:r>
            <w:r w:rsidR="00AF586C">
              <w:rPr>
                <w:rFonts w:ascii="GHEA Grapalat" w:hAnsi="GHEA Grapalat"/>
                <w:sz w:val="24"/>
                <w:szCs w:val="24"/>
                <w:lang w:val="hy-AM"/>
              </w:rPr>
              <w:t>1</w:t>
            </w:r>
            <w:r>
              <w:rPr>
                <w:rFonts w:ascii="GHEA Grapalat" w:hAnsi="GHEA Grapalat"/>
                <w:sz w:val="24"/>
                <w:szCs w:val="24"/>
                <w:lang w:val="hy-AM"/>
              </w:rPr>
              <w:t>2</w:t>
            </w:r>
            <w:r w:rsidR="0086253F">
              <w:rPr>
                <w:rFonts w:ascii="GHEA Grapalat" w:hAnsi="GHEA Grapalat"/>
                <w:sz w:val="24"/>
                <w:szCs w:val="24"/>
              </w:rPr>
              <w:t>.202</w:t>
            </w:r>
            <w:r w:rsidR="00375854">
              <w:rPr>
                <w:rFonts w:ascii="GHEA Grapalat" w:hAnsi="GHEA Grapalat"/>
                <w:sz w:val="24"/>
                <w:szCs w:val="24"/>
                <w:lang w:val="hy-AM"/>
              </w:rPr>
              <w:t>2</w:t>
            </w:r>
            <w:r w:rsidR="0086253F">
              <w:rPr>
                <w:rFonts w:ascii="GHEA Grapalat" w:hAnsi="GHEA Grapalat"/>
                <w:sz w:val="24"/>
                <w:szCs w:val="24"/>
                <w:lang w:val="hy-AM"/>
              </w:rPr>
              <w:t>թ</w:t>
            </w:r>
            <w:r w:rsidR="0086253F">
              <w:rPr>
                <w:rFonts w:ascii="Cambria Math" w:hAnsi="Cambria Math"/>
                <w:sz w:val="24"/>
                <w:szCs w:val="24"/>
                <w:lang w:val="hy-AM"/>
              </w:rPr>
              <w:t>․</w:t>
            </w:r>
          </w:p>
        </w:tc>
      </w:tr>
      <w:tr w:rsidR="0086253F" w:rsidRPr="003B1DDA" w14:paraId="495D6AC3" w14:textId="77777777" w:rsidTr="0003770B">
        <w:trPr>
          <w:tblCellSpacing w:w="0" w:type="dxa"/>
          <w:jc w:val="center"/>
        </w:trPr>
        <w:tc>
          <w:tcPr>
            <w:tcW w:w="1197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F613E9" w14:textId="77777777" w:rsidR="0086253F" w:rsidRPr="003B1DDA" w:rsidRDefault="0086253F" w:rsidP="0086253F">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3C66A890" w14:textId="6E4042F4" w:rsidR="0086253F" w:rsidRPr="003B1DDA" w:rsidRDefault="0086253F" w:rsidP="0086253F">
            <w:pPr>
              <w:spacing w:line="360" w:lineRule="auto"/>
              <w:rPr>
                <w:rFonts w:ascii="GHEA Grapalat" w:hAnsi="GHEA Grapalat"/>
                <w:sz w:val="24"/>
                <w:szCs w:val="24"/>
                <w:lang w:val="hy-AM"/>
              </w:rPr>
            </w:pPr>
            <w:r>
              <w:rPr>
                <w:rFonts w:ascii="GHEA Grapalat" w:hAnsi="GHEA Grapalat"/>
                <w:sz w:val="24"/>
                <w:szCs w:val="24"/>
              </w:rPr>
              <w:t xml:space="preserve">№ </w:t>
            </w:r>
            <w:r w:rsidR="00720460" w:rsidRPr="00720460">
              <w:rPr>
                <w:rFonts w:ascii="GHEA Grapalat" w:hAnsi="GHEA Grapalat"/>
                <w:sz w:val="24"/>
                <w:szCs w:val="24"/>
              </w:rPr>
              <w:t>01/3-2/88381-2022</w:t>
            </w:r>
          </w:p>
        </w:tc>
      </w:tr>
      <w:bookmarkEnd w:id="1"/>
      <w:tr w:rsidR="0086253F" w:rsidRPr="00385D97" w14:paraId="24714155" w14:textId="77777777" w:rsidTr="008900C7">
        <w:trPr>
          <w:tblCellSpacing w:w="0" w:type="dxa"/>
          <w:jc w:val="center"/>
        </w:trPr>
        <w:tc>
          <w:tcPr>
            <w:tcW w:w="7222" w:type="dxa"/>
            <w:gridSpan w:val="2"/>
            <w:tcBorders>
              <w:top w:val="outset" w:sz="6" w:space="0" w:color="auto"/>
              <w:left w:val="outset" w:sz="6" w:space="0" w:color="auto"/>
              <w:bottom w:val="outset" w:sz="6" w:space="0" w:color="auto"/>
              <w:right w:val="outset" w:sz="6" w:space="0" w:color="auto"/>
            </w:tcBorders>
            <w:shd w:val="clear" w:color="auto" w:fill="FFFFFF"/>
          </w:tcPr>
          <w:p w14:paraId="60BB3D1D" w14:textId="41A2DF5A" w:rsidR="0086253F" w:rsidRPr="008223E8" w:rsidRDefault="00720460" w:rsidP="00720460">
            <w:pPr>
              <w:spacing w:line="360" w:lineRule="auto"/>
              <w:ind w:firstLine="708"/>
              <w:jc w:val="both"/>
              <w:rPr>
                <w:rFonts w:ascii="GHEA Grapalat" w:hAnsi="GHEA Grapalat"/>
                <w:sz w:val="24"/>
                <w:szCs w:val="24"/>
                <w:lang w:val="hy-AM"/>
              </w:rPr>
            </w:pPr>
            <w:r w:rsidRPr="00720460">
              <w:rPr>
                <w:rFonts w:ascii="GHEA Grapalat" w:hAnsi="GHEA Grapalat"/>
                <w:sz w:val="24"/>
                <w:szCs w:val="24"/>
                <w:lang w:val="hy-AM"/>
              </w:rPr>
              <w:t>«Վերամշակում՝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 Հայաստանի Հանրապետության կառավարության որոշման նախագծի վերաբերյալ առաջարկում ենք նախաբանում նշված` «օրենքի 32-րդ գլխով» բառերը փոխարինել «օրենքի 22-րդ գլխով» բառերով:</w:t>
            </w:r>
            <w:r w:rsidR="008462EA" w:rsidRPr="008462EA">
              <w:rPr>
                <w:rFonts w:ascii="GHEA Grapalat" w:hAnsi="GHEA Grapalat"/>
                <w:sz w:val="24"/>
                <w:szCs w:val="24"/>
                <w:lang w:val="hy-AM"/>
              </w:rPr>
              <w:t>3. Հավելվածի 7-րդ կետում «յուրաքանչյուր ամսվա 15-ը» բառերը առաջարկում ենք փոխարինել «հաջորդող ամսվա 15-ը» բառերով:</w:t>
            </w: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8B7EC6" w14:textId="77777777" w:rsidR="00DC02B4" w:rsidRDefault="00DC02B4" w:rsidP="0086253F">
            <w:pPr>
              <w:spacing w:line="360" w:lineRule="auto"/>
              <w:jc w:val="center"/>
              <w:rPr>
                <w:rFonts w:ascii="GHEA Grapalat" w:hAnsi="GHEA Grapalat"/>
                <w:bCs/>
                <w:sz w:val="24"/>
                <w:szCs w:val="24"/>
                <w:lang w:val="hy-AM"/>
              </w:rPr>
            </w:pPr>
          </w:p>
          <w:p w14:paraId="6DEC2F08" w14:textId="77777777" w:rsidR="00D63781" w:rsidRDefault="00D63781" w:rsidP="0086253F">
            <w:pPr>
              <w:spacing w:line="360" w:lineRule="auto"/>
              <w:jc w:val="center"/>
              <w:rPr>
                <w:rFonts w:ascii="GHEA Grapalat" w:hAnsi="GHEA Grapalat"/>
                <w:bCs/>
                <w:sz w:val="24"/>
                <w:szCs w:val="24"/>
                <w:lang w:val="hy-AM"/>
              </w:rPr>
            </w:pPr>
          </w:p>
          <w:p w14:paraId="474BC4CD" w14:textId="77777777" w:rsidR="00D63781" w:rsidRDefault="00D63781" w:rsidP="0086253F">
            <w:pPr>
              <w:spacing w:line="360" w:lineRule="auto"/>
              <w:jc w:val="center"/>
              <w:rPr>
                <w:rFonts w:ascii="GHEA Grapalat" w:hAnsi="GHEA Grapalat"/>
                <w:bCs/>
                <w:sz w:val="24"/>
                <w:szCs w:val="24"/>
                <w:lang w:val="hy-AM"/>
              </w:rPr>
            </w:pPr>
          </w:p>
          <w:p w14:paraId="477A496D" w14:textId="068FFC36" w:rsidR="008D038A" w:rsidRDefault="0086253F" w:rsidP="0086253F">
            <w:pPr>
              <w:spacing w:line="360" w:lineRule="auto"/>
              <w:jc w:val="center"/>
              <w:rPr>
                <w:rFonts w:ascii="GHEA Grapalat" w:hAnsi="GHEA Grapalat"/>
                <w:bCs/>
                <w:sz w:val="24"/>
                <w:szCs w:val="24"/>
                <w:lang w:val="hy-AM"/>
              </w:rPr>
            </w:pPr>
            <w:r w:rsidRPr="00C359A7">
              <w:rPr>
                <w:rFonts w:ascii="GHEA Grapalat" w:hAnsi="GHEA Grapalat"/>
                <w:bCs/>
                <w:sz w:val="24"/>
                <w:szCs w:val="24"/>
                <w:lang w:val="hy-AM"/>
              </w:rPr>
              <w:t>Ընդունվել է</w:t>
            </w:r>
            <w:r w:rsidR="00385D97">
              <w:rPr>
                <w:rFonts w:ascii="GHEA Grapalat" w:hAnsi="GHEA Grapalat"/>
                <w:bCs/>
                <w:sz w:val="24"/>
                <w:szCs w:val="24"/>
                <w:lang w:val="hy-AM"/>
              </w:rPr>
              <w:t xml:space="preserve"> </w:t>
            </w:r>
          </w:p>
          <w:p w14:paraId="0A24638C" w14:textId="205F641A" w:rsidR="0086253F" w:rsidRDefault="00385D97" w:rsidP="0086253F">
            <w:pPr>
              <w:spacing w:line="360" w:lineRule="auto"/>
              <w:jc w:val="center"/>
              <w:rPr>
                <w:rFonts w:ascii="GHEA Grapalat" w:hAnsi="GHEA Grapalat"/>
                <w:bCs/>
                <w:sz w:val="24"/>
                <w:szCs w:val="24"/>
                <w:lang w:val="hy-AM"/>
              </w:rPr>
            </w:pPr>
            <w:r>
              <w:rPr>
                <w:rFonts w:ascii="GHEA Grapalat" w:hAnsi="GHEA Grapalat"/>
                <w:bCs/>
                <w:sz w:val="24"/>
                <w:szCs w:val="24"/>
                <w:lang w:val="hy-AM"/>
              </w:rPr>
              <w:t xml:space="preserve"> </w:t>
            </w:r>
          </w:p>
          <w:p w14:paraId="291BF215" w14:textId="77777777" w:rsidR="008D038A" w:rsidRDefault="008D038A" w:rsidP="008462EA">
            <w:pPr>
              <w:spacing w:line="360" w:lineRule="auto"/>
              <w:jc w:val="center"/>
              <w:rPr>
                <w:rFonts w:ascii="GHEA Grapalat" w:hAnsi="GHEA Grapalat"/>
                <w:bCs/>
                <w:sz w:val="24"/>
                <w:szCs w:val="24"/>
                <w:lang w:val="hy-AM"/>
              </w:rPr>
            </w:pPr>
          </w:p>
          <w:p w14:paraId="310B9574" w14:textId="12F875CD" w:rsidR="00DC02B4" w:rsidRPr="003B1DDA" w:rsidRDefault="00DC02B4" w:rsidP="00720460">
            <w:pPr>
              <w:spacing w:line="360" w:lineRule="auto"/>
              <w:jc w:val="center"/>
              <w:rPr>
                <w:rFonts w:ascii="GHEA Grapalat" w:hAnsi="GHEA Grapalat"/>
                <w:sz w:val="24"/>
                <w:szCs w:val="24"/>
                <w:lang w:val="hy-AM"/>
              </w:rPr>
            </w:pPr>
          </w:p>
        </w:tc>
      </w:tr>
      <w:tr w:rsidR="007C7B85" w:rsidRPr="003038AC" w14:paraId="00AD5CD4" w14:textId="77777777" w:rsidTr="00783D15">
        <w:trPr>
          <w:tblCellSpacing w:w="0" w:type="dxa"/>
          <w:jc w:val="center"/>
        </w:trPr>
        <w:tc>
          <w:tcPr>
            <w:tcW w:w="11974" w:type="dxa"/>
            <w:gridSpan w:val="3"/>
            <w:vMerge w:val="restart"/>
            <w:tcBorders>
              <w:top w:val="outset" w:sz="6" w:space="0" w:color="auto"/>
              <w:left w:val="outset" w:sz="6" w:space="0" w:color="auto"/>
              <w:bottom w:val="outset" w:sz="6" w:space="0" w:color="auto"/>
              <w:right w:val="outset" w:sz="6" w:space="0" w:color="auto"/>
            </w:tcBorders>
            <w:shd w:val="clear" w:color="auto" w:fill="D0D0D0"/>
            <w:hideMark/>
          </w:tcPr>
          <w:p w14:paraId="3EDC2040" w14:textId="77777777" w:rsidR="007C7B85" w:rsidRDefault="007C7B85" w:rsidP="00783D15">
            <w:pPr>
              <w:spacing w:line="360" w:lineRule="auto"/>
              <w:jc w:val="center"/>
              <w:rPr>
                <w:rFonts w:ascii="GHEA Grapalat" w:hAnsi="GHEA Grapalat"/>
                <w:sz w:val="24"/>
                <w:szCs w:val="24"/>
                <w:lang w:val="hy-AM"/>
              </w:rPr>
            </w:pPr>
          </w:p>
          <w:p w14:paraId="1DCE112B" w14:textId="72B15BF3" w:rsidR="007C7B85" w:rsidRPr="003B1DDA" w:rsidRDefault="007C7B85" w:rsidP="00783D15">
            <w:pPr>
              <w:spacing w:line="360" w:lineRule="auto"/>
              <w:jc w:val="center"/>
              <w:rPr>
                <w:rFonts w:ascii="GHEA Grapalat" w:hAnsi="GHEA Grapalat"/>
                <w:sz w:val="24"/>
                <w:szCs w:val="24"/>
                <w:lang w:val="hy-AM"/>
              </w:rPr>
            </w:pPr>
            <w:r>
              <w:rPr>
                <w:rFonts w:ascii="GHEA Grapalat" w:hAnsi="GHEA Grapalat"/>
                <w:sz w:val="24"/>
                <w:szCs w:val="24"/>
                <w:lang w:val="hy-AM"/>
              </w:rPr>
              <w:t>3</w:t>
            </w:r>
            <w:r w:rsidRPr="007C7B85">
              <w:rPr>
                <w:rFonts w:ascii="GHEA Grapalat" w:hAnsi="GHEA Grapalat"/>
                <w:sz w:val="24"/>
                <w:szCs w:val="24"/>
                <w:lang w:val="hy-AM"/>
              </w:rPr>
              <w:t>. ՀՀ տնտեսական մրցակցության պաշտպանության պետական հանձնաժողով</w:t>
            </w: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057550E7" w14:textId="611330B6" w:rsidR="007C7B85" w:rsidRPr="003038AC" w:rsidRDefault="007C7B85" w:rsidP="00783D15">
            <w:pPr>
              <w:spacing w:line="360" w:lineRule="auto"/>
              <w:rPr>
                <w:rFonts w:ascii="Cambria Math" w:hAnsi="Cambria Math"/>
                <w:sz w:val="24"/>
                <w:szCs w:val="24"/>
                <w:lang w:val="hy-AM"/>
              </w:rPr>
            </w:pPr>
            <w:r>
              <w:rPr>
                <w:rFonts w:ascii="GHEA Grapalat" w:hAnsi="GHEA Grapalat"/>
                <w:sz w:val="24"/>
                <w:szCs w:val="24"/>
                <w:lang w:val="hy-AM"/>
              </w:rPr>
              <w:t>01</w:t>
            </w:r>
            <w:r>
              <w:rPr>
                <w:rFonts w:ascii="GHEA Grapalat" w:hAnsi="GHEA Grapalat"/>
                <w:sz w:val="24"/>
                <w:szCs w:val="24"/>
              </w:rPr>
              <w:t>.</w:t>
            </w:r>
            <w:r>
              <w:rPr>
                <w:rFonts w:ascii="GHEA Grapalat" w:hAnsi="GHEA Grapalat"/>
                <w:sz w:val="24"/>
                <w:szCs w:val="24"/>
                <w:lang w:val="hy-AM"/>
              </w:rPr>
              <w:t>12</w:t>
            </w:r>
            <w:r>
              <w:rPr>
                <w:rFonts w:ascii="GHEA Grapalat" w:hAnsi="GHEA Grapalat"/>
                <w:sz w:val="24"/>
                <w:szCs w:val="24"/>
              </w:rPr>
              <w:t>.202</w:t>
            </w:r>
            <w:r>
              <w:rPr>
                <w:rFonts w:ascii="GHEA Grapalat" w:hAnsi="GHEA Grapalat"/>
                <w:sz w:val="24"/>
                <w:szCs w:val="24"/>
                <w:lang w:val="hy-AM"/>
              </w:rPr>
              <w:t>2թ</w:t>
            </w:r>
            <w:r>
              <w:rPr>
                <w:rFonts w:ascii="Cambria Math" w:hAnsi="Cambria Math"/>
                <w:sz w:val="24"/>
                <w:szCs w:val="24"/>
                <w:lang w:val="hy-AM"/>
              </w:rPr>
              <w:t>․</w:t>
            </w:r>
          </w:p>
        </w:tc>
      </w:tr>
      <w:tr w:rsidR="007C7B85" w:rsidRPr="003B1DDA" w14:paraId="06B6F9B6" w14:textId="77777777" w:rsidTr="00783D15">
        <w:trPr>
          <w:tblCellSpacing w:w="0" w:type="dxa"/>
          <w:jc w:val="center"/>
        </w:trPr>
        <w:tc>
          <w:tcPr>
            <w:tcW w:w="11974" w:type="dxa"/>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CED941" w14:textId="77777777" w:rsidR="007C7B85" w:rsidRPr="003B1DDA" w:rsidRDefault="007C7B85" w:rsidP="00783D15">
            <w:pPr>
              <w:spacing w:line="360" w:lineRule="auto"/>
              <w:rPr>
                <w:rFonts w:ascii="GHEA Grapalat" w:hAnsi="GHEA Grapalat"/>
                <w:sz w:val="24"/>
                <w:szCs w:val="24"/>
              </w:rPr>
            </w:pPr>
          </w:p>
        </w:tc>
        <w:tc>
          <w:tcPr>
            <w:tcW w:w="2025" w:type="dxa"/>
            <w:tcBorders>
              <w:top w:val="outset" w:sz="6" w:space="0" w:color="auto"/>
              <w:left w:val="outset" w:sz="6" w:space="0" w:color="auto"/>
              <w:bottom w:val="outset" w:sz="6" w:space="0" w:color="auto"/>
              <w:right w:val="outset" w:sz="6" w:space="0" w:color="auto"/>
            </w:tcBorders>
            <w:shd w:val="clear" w:color="auto" w:fill="D0D0D0"/>
            <w:hideMark/>
          </w:tcPr>
          <w:p w14:paraId="3B715AD9" w14:textId="0951BBD9" w:rsidR="007C7B85" w:rsidRPr="003B1DDA" w:rsidRDefault="007C7B85" w:rsidP="00783D15">
            <w:pPr>
              <w:spacing w:line="360" w:lineRule="auto"/>
              <w:rPr>
                <w:rFonts w:ascii="GHEA Grapalat" w:hAnsi="GHEA Grapalat"/>
                <w:sz w:val="24"/>
                <w:szCs w:val="24"/>
                <w:lang w:val="hy-AM"/>
              </w:rPr>
            </w:pPr>
            <w:r>
              <w:rPr>
                <w:rFonts w:ascii="GHEA Grapalat" w:hAnsi="GHEA Grapalat"/>
                <w:sz w:val="24"/>
                <w:szCs w:val="24"/>
              </w:rPr>
              <w:t xml:space="preserve">№ </w:t>
            </w:r>
            <w:r w:rsidRPr="007C7B85">
              <w:rPr>
                <w:rFonts w:ascii="GHEA Grapalat" w:hAnsi="GHEA Grapalat"/>
                <w:sz w:val="24"/>
                <w:szCs w:val="24"/>
              </w:rPr>
              <w:t>ԳԳ/1495-2022</w:t>
            </w:r>
          </w:p>
        </w:tc>
      </w:tr>
      <w:tr w:rsidR="007C7B85" w:rsidRPr="007C7B85" w14:paraId="66B6A22E" w14:textId="77777777" w:rsidTr="008900C7">
        <w:trPr>
          <w:tblCellSpacing w:w="0" w:type="dxa"/>
          <w:jc w:val="center"/>
        </w:trPr>
        <w:tc>
          <w:tcPr>
            <w:tcW w:w="7222" w:type="dxa"/>
            <w:gridSpan w:val="2"/>
            <w:tcBorders>
              <w:top w:val="outset" w:sz="6" w:space="0" w:color="auto"/>
              <w:left w:val="outset" w:sz="6" w:space="0" w:color="auto"/>
              <w:bottom w:val="outset" w:sz="6" w:space="0" w:color="auto"/>
              <w:right w:val="outset" w:sz="6" w:space="0" w:color="auto"/>
            </w:tcBorders>
            <w:shd w:val="clear" w:color="auto" w:fill="FFFFFF"/>
          </w:tcPr>
          <w:p w14:paraId="555C14E5" w14:textId="0F931DF9" w:rsidR="007C7B85" w:rsidRPr="00720460" w:rsidRDefault="007C7B85" w:rsidP="00720460">
            <w:pPr>
              <w:spacing w:line="360" w:lineRule="auto"/>
              <w:ind w:firstLine="708"/>
              <w:jc w:val="both"/>
              <w:rPr>
                <w:rFonts w:ascii="GHEA Grapalat" w:hAnsi="GHEA Grapalat"/>
                <w:sz w:val="24"/>
                <w:szCs w:val="24"/>
                <w:lang w:val="hy-AM"/>
              </w:rPr>
            </w:pPr>
            <w:r w:rsidRPr="007C7B85">
              <w:rPr>
                <w:rFonts w:ascii="GHEA Grapalat" w:hAnsi="GHEA Grapalat"/>
                <w:sz w:val="24"/>
                <w:szCs w:val="24"/>
                <w:lang w:val="hy-AM"/>
              </w:rPr>
              <w:t>«Վերամշակում՝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 Կառավարության որոշման նախագծի վերաբերյալ դիտողություններ և առաջարկություններ չկան։</w:t>
            </w:r>
          </w:p>
        </w:tc>
        <w:tc>
          <w:tcPr>
            <w:tcW w:w="6777" w:type="dxa"/>
            <w:gridSpan w:val="2"/>
            <w:tcBorders>
              <w:top w:val="outset" w:sz="6" w:space="0" w:color="auto"/>
              <w:left w:val="outset" w:sz="6" w:space="0" w:color="auto"/>
              <w:bottom w:val="outset" w:sz="6" w:space="0" w:color="auto"/>
              <w:right w:val="outset" w:sz="6" w:space="0" w:color="auto"/>
            </w:tcBorders>
            <w:shd w:val="clear" w:color="auto" w:fill="FFFFFF"/>
          </w:tcPr>
          <w:p w14:paraId="79C45CF9" w14:textId="77777777" w:rsidR="007C7B85" w:rsidRDefault="007C7B85" w:rsidP="0086253F">
            <w:pPr>
              <w:spacing w:line="360" w:lineRule="auto"/>
              <w:jc w:val="center"/>
              <w:rPr>
                <w:rFonts w:ascii="GHEA Grapalat" w:hAnsi="GHEA Grapalat"/>
                <w:bCs/>
                <w:sz w:val="24"/>
                <w:szCs w:val="24"/>
                <w:lang w:val="hy-AM"/>
              </w:rPr>
            </w:pPr>
          </w:p>
          <w:p w14:paraId="7D2FB457" w14:textId="77777777" w:rsidR="007C7B85" w:rsidRDefault="007C7B85" w:rsidP="007C7B85">
            <w:pPr>
              <w:spacing w:line="360" w:lineRule="auto"/>
              <w:jc w:val="center"/>
              <w:rPr>
                <w:rFonts w:ascii="GHEA Grapalat" w:hAnsi="GHEA Grapalat"/>
                <w:bCs/>
                <w:sz w:val="24"/>
                <w:szCs w:val="24"/>
                <w:lang w:val="hy-AM"/>
              </w:rPr>
            </w:pPr>
            <w:r w:rsidRPr="00C359A7">
              <w:rPr>
                <w:rFonts w:ascii="GHEA Grapalat" w:hAnsi="GHEA Grapalat"/>
                <w:bCs/>
                <w:sz w:val="24"/>
                <w:szCs w:val="24"/>
                <w:lang w:val="hy-AM"/>
              </w:rPr>
              <w:t>Ընդունվել է</w:t>
            </w:r>
            <w:r>
              <w:rPr>
                <w:rFonts w:ascii="GHEA Grapalat" w:hAnsi="GHEA Grapalat"/>
                <w:bCs/>
                <w:sz w:val="24"/>
                <w:szCs w:val="24"/>
                <w:lang w:val="hy-AM"/>
              </w:rPr>
              <w:t xml:space="preserve"> </w:t>
            </w:r>
          </w:p>
          <w:p w14:paraId="489A68E3" w14:textId="6644D5A1" w:rsidR="007C7B85" w:rsidRDefault="007C7B85" w:rsidP="0086253F">
            <w:pPr>
              <w:spacing w:line="360" w:lineRule="auto"/>
              <w:jc w:val="center"/>
              <w:rPr>
                <w:rFonts w:ascii="GHEA Grapalat" w:hAnsi="GHEA Grapalat"/>
                <w:bCs/>
                <w:sz w:val="24"/>
                <w:szCs w:val="24"/>
                <w:lang w:val="hy-AM"/>
              </w:rPr>
            </w:pPr>
          </w:p>
        </w:tc>
      </w:tr>
    </w:tbl>
    <w:p w14:paraId="5EF4BDE1" w14:textId="77777777" w:rsidR="00241D15" w:rsidRPr="00E35072" w:rsidRDefault="00241D15">
      <w:pPr>
        <w:rPr>
          <w:lang w:val="hy-AM"/>
        </w:rPr>
      </w:pPr>
    </w:p>
    <w:sectPr w:rsidR="00241D15" w:rsidRPr="00E35072" w:rsidSect="00950375">
      <w:pgSz w:w="15840" w:h="12240" w:orient="landscape"/>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SimSun">
    <w:panose1 w:val="02010609030101010101"/>
    <w:charset w:val="86"/>
    <w:family w:val="modern"/>
    <w:pitch w:val="fixed"/>
    <w:sig w:usb0="0000028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60E29"/>
    <w:multiLevelType w:val="hybridMultilevel"/>
    <w:tmpl w:val="2CE48F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2532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E0"/>
    <w:rsid w:val="0003770B"/>
    <w:rsid w:val="000445CA"/>
    <w:rsid w:val="00046ED2"/>
    <w:rsid w:val="00071247"/>
    <w:rsid w:val="0010539F"/>
    <w:rsid w:val="001079C0"/>
    <w:rsid w:val="0013573A"/>
    <w:rsid w:val="00160F9A"/>
    <w:rsid w:val="001818C8"/>
    <w:rsid w:val="00206888"/>
    <w:rsid w:val="00241D15"/>
    <w:rsid w:val="00245774"/>
    <w:rsid w:val="00256392"/>
    <w:rsid w:val="00281BB7"/>
    <w:rsid w:val="002A6DA8"/>
    <w:rsid w:val="002D6D35"/>
    <w:rsid w:val="002E48DF"/>
    <w:rsid w:val="002E4FD3"/>
    <w:rsid w:val="002E53BB"/>
    <w:rsid w:val="003038AC"/>
    <w:rsid w:val="00342C8F"/>
    <w:rsid w:val="00372C57"/>
    <w:rsid w:val="00375854"/>
    <w:rsid w:val="00384A83"/>
    <w:rsid w:val="00385D97"/>
    <w:rsid w:val="003E4FC9"/>
    <w:rsid w:val="003E6D75"/>
    <w:rsid w:val="00444115"/>
    <w:rsid w:val="0045039B"/>
    <w:rsid w:val="00451FE2"/>
    <w:rsid w:val="004676DC"/>
    <w:rsid w:val="004B44F0"/>
    <w:rsid w:val="004C26B1"/>
    <w:rsid w:val="004E0FE1"/>
    <w:rsid w:val="004E38CE"/>
    <w:rsid w:val="004F22AA"/>
    <w:rsid w:val="00500117"/>
    <w:rsid w:val="00502327"/>
    <w:rsid w:val="00520D90"/>
    <w:rsid w:val="00522E0F"/>
    <w:rsid w:val="00563D36"/>
    <w:rsid w:val="00567B9C"/>
    <w:rsid w:val="005811A1"/>
    <w:rsid w:val="0059408C"/>
    <w:rsid w:val="005A3EF3"/>
    <w:rsid w:val="00613BDE"/>
    <w:rsid w:val="00613E10"/>
    <w:rsid w:val="00661268"/>
    <w:rsid w:val="00666955"/>
    <w:rsid w:val="0067206D"/>
    <w:rsid w:val="00684631"/>
    <w:rsid w:val="006C2D23"/>
    <w:rsid w:val="006E7033"/>
    <w:rsid w:val="006F6671"/>
    <w:rsid w:val="00720460"/>
    <w:rsid w:val="007277AB"/>
    <w:rsid w:val="00742257"/>
    <w:rsid w:val="0075262E"/>
    <w:rsid w:val="00760156"/>
    <w:rsid w:val="007C06A8"/>
    <w:rsid w:val="007C7B85"/>
    <w:rsid w:val="007E35AE"/>
    <w:rsid w:val="0081443E"/>
    <w:rsid w:val="00821495"/>
    <w:rsid w:val="008214A5"/>
    <w:rsid w:val="008223E8"/>
    <w:rsid w:val="008462EA"/>
    <w:rsid w:val="0086253F"/>
    <w:rsid w:val="008900C7"/>
    <w:rsid w:val="008B1CAF"/>
    <w:rsid w:val="008D038A"/>
    <w:rsid w:val="00915306"/>
    <w:rsid w:val="00935DE0"/>
    <w:rsid w:val="00977467"/>
    <w:rsid w:val="009841A5"/>
    <w:rsid w:val="00994B27"/>
    <w:rsid w:val="009D14FE"/>
    <w:rsid w:val="00A22824"/>
    <w:rsid w:val="00A66057"/>
    <w:rsid w:val="00A90F8F"/>
    <w:rsid w:val="00A9682E"/>
    <w:rsid w:val="00AA071D"/>
    <w:rsid w:val="00AA452B"/>
    <w:rsid w:val="00AA4C16"/>
    <w:rsid w:val="00AF586C"/>
    <w:rsid w:val="00B1024D"/>
    <w:rsid w:val="00B5207E"/>
    <w:rsid w:val="00B7645B"/>
    <w:rsid w:val="00C05574"/>
    <w:rsid w:val="00C06AF5"/>
    <w:rsid w:val="00C24624"/>
    <w:rsid w:val="00C359A7"/>
    <w:rsid w:val="00C37DB6"/>
    <w:rsid w:val="00C4633E"/>
    <w:rsid w:val="00CC06E5"/>
    <w:rsid w:val="00CD12CE"/>
    <w:rsid w:val="00CF3712"/>
    <w:rsid w:val="00D177D3"/>
    <w:rsid w:val="00D63781"/>
    <w:rsid w:val="00D74BBA"/>
    <w:rsid w:val="00DA5B8C"/>
    <w:rsid w:val="00DA7F51"/>
    <w:rsid w:val="00DB3011"/>
    <w:rsid w:val="00DC02B4"/>
    <w:rsid w:val="00E042C7"/>
    <w:rsid w:val="00E044D8"/>
    <w:rsid w:val="00E05F50"/>
    <w:rsid w:val="00E11EC7"/>
    <w:rsid w:val="00E35072"/>
    <w:rsid w:val="00E7264A"/>
    <w:rsid w:val="00E7488E"/>
    <w:rsid w:val="00E8545C"/>
    <w:rsid w:val="00EA5677"/>
    <w:rsid w:val="00EA65ED"/>
    <w:rsid w:val="00EF1B1F"/>
    <w:rsid w:val="00F00EEF"/>
    <w:rsid w:val="00F103F9"/>
    <w:rsid w:val="00F1271C"/>
    <w:rsid w:val="00F161BA"/>
    <w:rsid w:val="00F27DF0"/>
    <w:rsid w:val="00F32B7B"/>
    <w:rsid w:val="00F8260C"/>
    <w:rsid w:val="00F900BA"/>
    <w:rsid w:val="00F92E3C"/>
    <w:rsid w:val="00FB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C0A1"/>
  <w15:docId w15:val="{EAABCF30-9B73-42BB-9E75-3F03D1B8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81964">
      <w:bodyDiv w:val="1"/>
      <w:marLeft w:val="0"/>
      <w:marRight w:val="0"/>
      <w:marTop w:val="0"/>
      <w:marBottom w:val="0"/>
      <w:divBdr>
        <w:top w:val="none" w:sz="0" w:space="0" w:color="auto"/>
        <w:left w:val="none" w:sz="0" w:space="0" w:color="auto"/>
        <w:bottom w:val="none" w:sz="0" w:space="0" w:color="auto"/>
        <w:right w:val="none" w:sz="0" w:space="0" w:color="auto"/>
      </w:divBdr>
    </w:div>
    <w:div w:id="567109463">
      <w:bodyDiv w:val="1"/>
      <w:marLeft w:val="0"/>
      <w:marRight w:val="0"/>
      <w:marTop w:val="0"/>
      <w:marBottom w:val="0"/>
      <w:divBdr>
        <w:top w:val="none" w:sz="0" w:space="0" w:color="auto"/>
        <w:left w:val="none" w:sz="0" w:space="0" w:color="auto"/>
        <w:bottom w:val="none" w:sz="0" w:space="0" w:color="auto"/>
        <w:right w:val="none" w:sz="0" w:space="0" w:color="auto"/>
      </w:divBdr>
    </w:div>
    <w:div w:id="877015194">
      <w:bodyDiv w:val="1"/>
      <w:marLeft w:val="0"/>
      <w:marRight w:val="0"/>
      <w:marTop w:val="0"/>
      <w:marBottom w:val="0"/>
      <w:divBdr>
        <w:top w:val="none" w:sz="0" w:space="0" w:color="auto"/>
        <w:left w:val="none" w:sz="0" w:space="0" w:color="auto"/>
        <w:bottom w:val="none" w:sz="0" w:space="0" w:color="auto"/>
        <w:right w:val="none" w:sz="0" w:space="0" w:color="auto"/>
      </w:divBdr>
    </w:div>
    <w:div w:id="1041322137">
      <w:bodyDiv w:val="1"/>
      <w:marLeft w:val="0"/>
      <w:marRight w:val="0"/>
      <w:marTop w:val="0"/>
      <w:marBottom w:val="0"/>
      <w:divBdr>
        <w:top w:val="none" w:sz="0" w:space="0" w:color="auto"/>
        <w:left w:val="none" w:sz="0" w:space="0" w:color="auto"/>
        <w:bottom w:val="none" w:sz="0" w:space="0" w:color="auto"/>
        <w:right w:val="none" w:sz="0" w:space="0" w:color="auto"/>
      </w:divBdr>
    </w:div>
    <w:div w:id="1243486876">
      <w:bodyDiv w:val="1"/>
      <w:marLeft w:val="0"/>
      <w:marRight w:val="0"/>
      <w:marTop w:val="0"/>
      <w:marBottom w:val="0"/>
      <w:divBdr>
        <w:top w:val="none" w:sz="0" w:space="0" w:color="auto"/>
        <w:left w:val="none" w:sz="0" w:space="0" w:color="auto"/>
        <w:bottom w:val="none" w:sz="0" w:space="0" w:color="auto"/>
        <w:right w:val="none" w:sz="0" w:space="0" w:color="auto"/>
      </w:divBdr>
    </w:div>
    <w:div w:id="1257055114">
      <w:bodyDiv w:val="1"/>
      <w:marLeft w:val="0"/>
      <w:marRight w:val="0"/>
      <w:marTop w:val="0"/>
      <w:marBottom w:val="0"/>
      <w:divBdr>
        <w:top w:val="none" w:sz="0" w:space="0" w:color="auto"/>
        <w:left w:val="none" w:sz="0" w:space="0" w:color="auto"/>
        <w:bottom w:val="none" w:sz="0" w:space="0" w:color="auto"/>
        <w:right w:val="none" w:sz="0" w:space="0" w:color="auto"/>
      </w:divBdr>
    </w:div>
    <w:div w:id="1425110807">
      <w:bodyDiv w:val="1"/>
      <w:marLeft w:val="0"/>
      <w:marRight w:val="0"/>
      <w:marTop w:val="0"/>
      <w:marBottom w:val="0"/>
      <w:divBdr>
        <w:top w:val="none" w:sz="0" w:space="0" w:color="auto"/>
        <w:left w:val="none" w:sz="0" w:space="0" w:color="auto"/>
        <w:bottom w:val="none" w:sz="0" w:space="0" w:color="auto"/>
        <w:right w:val="none" w:sz="0" w:space="0" w:color="auto"/>
      </w:divBdr>
    </w:div>
    <w:div w:id="1537086851">
      <w:bodyDiv w:val="1"/>
      <w:marLeft w:val="0"/>
      <w:marRight w:val="0"/>
      <w:marTop w:val="0"/>
      <w:marBottom w:val="0"/>
      <w:divBdr>
        <w:top w:val="none" w:sz="0" w:space="0" w:color="auto"/>
        <w:left w:val="none" w:sz="0" w:space="0" w:color="auto"/>
        <w:bottom w:val="none" w:sz="0" w:space="0" w:color="auto"/>
        <w:right w:val="none" w:sz="0" w:space="0" w:color="auto"/>
      </w:divBdr>
    </w:div>
    <w:div w:id="1773739129">
      <w:bodyDiv w:val="1"/>
      <w:marLeft w:val="0"/>
      <w:marRight w:val="0"/>
      <w:marTop w:val="0"/>
      <w:marBottom w:val="0"/>
      <w:divBdr>
        <w:top w:val="none" w:sz="0" w:space="0" w:color="auto"/>
        <w:left w:val="none" w:sz="0" w:space="0" w:color="auto"/>
        <w:bottom w:val="none" w:sz="0" w:space="0" w:color="auto"/>
        <w:right w:val="none" w:sz="0" w:space="0" w:color="auto"/>
      </w:divBdr>
    </w:div>
    <w:div w:id="1954090700">
      <w:bodyDiv w:val="1"/>
      <w:marLeft w:val="0"/>
      <w:marRight w:val="0"/>
      <w:marTop w:val="0"/>
      <w:marBottom w:val="0"/>
      <w:divBdr>
        <w:top w:val="none" w:sz="0" w:space="0" w:color="auto"/>
        <w:left w:val="none" w:sz="0" w:space="0" w:color="auto"/>
        <w:bottom w:val="none" w:sz="0" w:space="0" w:color="auto"/>
        <w:right w:val="none" w:sz="0" w:space="0" w:color="auto"/>
      </w:divBdr>
    </w:div>
    <w:div w:id="2043169476">
      <w:bodyDiv w:val="1"/>
      <w:marLeft w:val="0"/>
      <w:marRight w:val="0"/>
      <w:marTop w:val="0"/>
      <w:marBottom w:val="0"/>
      <w:divBdr>
        <w:top w:val="none" w:sz="0" w:space="0" w:color="auto"/>
        <w:left w:val="none" w:sz="0" w:space="0" w:color="auto"/>
        <w:bottom w:val="none" w:sz="0" w:space="0" w:color="auto"/>
        <w:right w:val="none" w:sz="0" w:space="0" w:color="auto"/>
      </w:divBdr>
    </w:div>
    <w:div w:id="20792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3D59C-36ED-4EB5-8983-D82D02E2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A. Ghazaryan</dc:creator>
  <cp:lastModifiedBy>Azgush A. Elazyan</cp:lastModifiedBy>
  <cp:revision>50</cp:revision>
  <dcterms:created xsi:type="dcterms:W3CDTF">2021-10-28T11:51:00Z</dcterms:created>
  <dcterms:modified xsi:type="dcterms:W3CDTF">2022-12-16T12:58:00Z</dcterms:modified>
</cp:coreProperties>
</file>