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7" w:rsidRDefault="007B5E1C">
      <w:pPr>
        <w:spacing w:after="120" w:line="240" w:lineRule="auto"/>
        <w:jc w:val="right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Հավելված N</w:t>
      </w:r>
      <w:r>
        <w:rPr>
          <w:rFonts w:ascii="GHEA Grapalat" w:eastAsia="GHEA Grapalat" w:hAnsi="GHEA Grapalat" w:cs="GHEA Grapalat"/>
        </w:rPr>
        <w:t>2</w:t>
      </w:r>
    </w:p>
    <w:p w:rsidR="00FC51A7" w:rsidRDefault="007B5E1C">
      <w:pPr>
        <w:spacing w:after="120" w:line="240" w:lineRule="auto"/>
        <w:jc w:val="right"/>
        <w:rPr>
          <w:rFonts w:ascii="GHEA Grapalat" w:eastAsia="GHEA Grapalat" w:hAnsi="GHEA Grapalat" w:cs="GHEA Grapalat"/>
          <w:color w:val="000000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</w:rPr>
        <w:t>ՀՀ կառավարության 2022 թվականի</w:t>
      </w:r>
    </w:p>
    <w:p w:rsidR="00FC51A7" w:rsidRDefault="007B5E1C">
      <w:pPr>
        <w:spacing w:after="120" w:line="240" w:lineRule="auto"/>
        <w:jc w:val="right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-----------------------------------ի N ------------Լ որոշման</w:t>
      </w:r>
    </w:p>
    <w:p w:rsidR="00FC51A7" w:rsidRDefault="007B5E1C" w:rsidP="00C54A0E">
      <w:pPr>
        <w:pStyle w:val="Heading1"/>
        <w:spacing w:line="360" w:lineRule="auto"/>
        <w:ind w:left="720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ՀԱՅԱՍՏԱՆԻ ՏԻԵԶԵՐԱԿԱՆ ՀԱՄԱՊԱՐՓԱԿ ՌԱԶՄԱՎԱՐՈՒԹՅԱՆ ՄԻՋՈՑԱՌՈՒՄՆԵՐԻ ԾՐԱԳԻՐ</w:t>
      </w:r>
    </w:p>
    <w:tbl>
      <w:tblPr>
        <w:tblStyle w:val="a0"/>
        <w:tblW w:w="15930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785"/>
        <w:gridCol w:w="3255"/>
        <w:gridCol w:w="2235"/>
        <w:gridCol w:w="2425"/>
        <w:gridCol w:w="2180"/>
        <w:gridCol w:w="1155"/>
        <w:gridCol w:w="1080"/>
        <w:gridCol w:w="1455"/>
      </w:tblGrid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Հ/Հ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Ուղղություն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Նպատակ,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Ակնկալվող արդյունք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Քանակական և որակական ցուցանիշ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Կատարող(ներ)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highlight w:val="yellow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highlight w:val="yellow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Վերջնաժամկետ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Ֆինանսավորման աղբյուր և կանխատեսվող չափ, հազ. դրամ 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highlight w:val="yellow"/>
              </w:rPr>
            </w:pP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7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Իրազեկում և ոգեշնչում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1.1 Տիեզերական բնագավառի, վերջինիս դերի և անմիջական ազդեցության վերաբերյալ իրազեկվածության մակարդակի բարձրացում հանրության և մասնավոր ընկերությունների շրջանում և տիեզերական գործունեությամբ զբաղվելու ոգեշնչում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Աջակցություն դպրոցականների, ուսանողների համար տիեզերական բնագավառի ամառային կրթական, գիտական դպրոցների անցկացմանը` ուղղված ոլորտային  տեխնոլոգիաների և ՄԱԿ-ի կայուն զարգացման օրակարգում դրանց դերի վերաբերյալ իրազեկման բարձրացմանը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Դպրոցականների, ուսանողների, շրջանում ոլորտի նկատմամբ հետաքրքրության ստեղծում և բարձրացում։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 ամառային դպրոցների կազմակերպում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(յուրաքանչյուրում 80-100 մասնակիցներով)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ԿԳՄՍ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2024-2028թթ.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Փոքր դրամաշնորհային ծրագիր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Ոլորտում զարգացման վաղ փուլում գտնվող նոր բիզնես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նախաձեռնությունների խթանում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 xml:space="preserve">Գործող «Գաղափարից բիզնես»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դրամաշնորհային ծրագրի շրջանակում տարեկան 3 դրամաշնորհների տրամադրում տիեզերական ոլորտի նախաձեռնություններին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2023-2028թթ.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Հավելյալ ֆինանսավո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րում չի պահանջում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Ոլորտային հաղորդումների մշակում և հեռարձակում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Բնակչության և մասնավոր ընկերությունների շրջանում ոլորտի վերաբերյալ իրազեկման և հետաքրքրության ստեղծում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Միջազգային տիեզերական տեխնոլոգիաների, դրանց դերի, ոլորտում հայկական ժառանգության և նոր ծրագրերի վերաբերյալ տեսահաղորդաշարի պատրաստում և հեռարձակում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2023-2028թթ.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Հավելյալ ֆինանսավորում չի պահանջում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Տիեզերական գործունեության ոլորտի համակարգման և կառավարման համակարգի բարելավում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2.1Ոլորտային մասնագիտացված </w:t>
            </w:r>
            <w:r w:rsidR="00AA5864">
              <w:rPr>
                <w:rFonts w:ascii="GHEA Grapalat" w:eastAsia="GHEA Grapalat" w:hAnsi="GHEA Grapalat" w:cs="GHEA Grapalat"/>
                <w:sz w:val="20"/>
                <w:szCs w:val="20"/>
              </w:rPr>
              <w:t>ստորաբաժանման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ստեղծում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140B9D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Ստեղծել ոլորտային մասնագիտաված </w:t>
            </w:r>
            <w:r w:rsidR="00140B9D">
              <w:rPr>
                <w:rFonts w:ascii="GHEA Grapalat" w:eastAsia="GHEA Grapalat" w:hAnsi="GHEA Grapalat" w:cs="GHEA Grapalat"/>
                <w:sz w:val="20"/>
                <w:szCs w:val="20"/>
              </w:rPr>
              <w:t>ստորաբաժանում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Ոլորտի քաղաքականության իրագործման և ոլորտի համակարգման գործառույթի արդյունավետ ապահովման համար պատասխանատու,  մասնագիտացված </w:t>
            </w:r>
            <w:r w:rsidR="00D051E2">
              <w:rPr>
                <w:rFonts w:ascii="GHEA Grapalat" w:eastAsia="GHEA Grapalat" w:hAnsi="GHEA Grapalat" w:cs="GHEA Grapalat"/>
                <w:sz w:val="20"/>
                <w:szCs w:val="20"/>
              </w:rPr>
              <w:t>ստորաբաժանման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ստեղծում, որը կօգնի իրականացնել․ 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- տիեզերական ոլորտի քաղաքականության արդյունավետ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իրագործման ապահովում,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- ոլորտային հեռանկարային տեխնոլոգիաների ընտրություն,  տեղայնացում, դրանց հետագա զարգացման աշխատանքներ,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- տիեզերական գործունեության սուբյեկտների աշխատանքի համակարգումը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- արտերկրյա նման կառույցների հետ սերտ աշխատքելով միջազգային համագործակցությունների ներդրման և զարգացման խթանում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Ստեղծված 1 նոր կոմիտե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2023թ. 4-րդ եռամսյակ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Կներկայացվի ՀՀ ԲՏԱՆ կառուցվածքային փոփոխության համատեքստում։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2.2 ՀՀ տիեզերական գործունեությունը համակարգող օրենսդրական դաշտի շարունակական բարեփոխումներ՝ ըստ անհրաժեշտության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«Տիեզերական գործունեության մասին» ՀՀ օրենքում և վերջինից բխող ենթաօրենսդրական նորմատիվ իրավական ակտերում  փոփոխություններ և լրացումներ նախատեսող նախագծերի մշակում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սահմանված եզրույթների լրամշակում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Լիցենզավորման գործընթացը կանոնակարգող  ենթաօրենսդրական նորմատիվ իրավական ակտերում փոփոխությունների և լրացումների կատարում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Բարեփոխված Տիեզերական գործունեության մասին ՀՀ օրենք, Լիզենցավորման գործընթացը կանոնակարգող  ենթաօրենսդրական նորմատիվ իրավական ակտերը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2026թ. 4-րդ եռամսյակ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DB2641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2.3 2029-2035թթ. Հայաստանի Հանրապետության տիեզերական ռազմավարության մշակում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DB2641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2029-2035թթ. տիեզերական ռազմավարության և միջոցառումների ծրագրի մշակման աշխատանքների իրականացում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DB2641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2029-2035թթ. տիեզերական ռազմավարության հաստատում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DB2641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Ընդունված 2029-2035թթ. տիեզերական ռազմավարություն և միջոցառումների ծրագիր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ԲՏԱՆ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2027թ. 4-րդ եռամսյակ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Տիեզերական գործունեության ոլորտում ազգային կարողությունների զարգացում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3.1. ՀՀ տիեզերական գործունեության ոլորտում մարդկային կապիտալի զարգացում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Արտերկրյա փորձառու մասնագետների/գիտնականների ներգրավում․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գիտությունների կոմիտեի «Հեռավար լաբորատորիաների հիմնադրման ծրագիր»,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«Հայաստանի Հանրապետության գիտական համայնքին արտերկրի գիտնականների ինտեգրմանն աջակցության ծրագիր» և այլ ծրագրերի շրջանակում տարեկան որոշակի թվով տիեզերական բնագավառի գիտնականների/մասնագետների ներգրավում և ՀՀ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 xml:space="preserve">ԲՏԱ նախարարության կողմից հավելյալ ֆինանսավորմամբ տվյալ գիտնականներին/մասնագետներին ինտեգրել նաև </w:t>
            </w: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փորձարարակոնստրուկտորական աշխատանքների և արդյունաբերական համակարգի մեջ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ՀՀ-ում առկա բարձրակարգ գիտնականներ, որոնք կարող են դասավանդել ոլորտային կրթական ծրագրերում, գիտական գործունեությամբ զբաղվել հայկական ուսանողներից կազմված խմբերով և իրենց ներդրումն ունենալ փորձարարակոնստրուկտորական կամ տիեզերական արդյունաբերության զարգացման ծրագրերում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Տարեկան ներգրավված 6 մասնագետներ,</w:t>
            </w:r>
          </w:p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Տարեկան առնվազն 6 նոր գիտական հետազոտությունների նախաձեռնում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ԿԳՄՍ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2024-2027թթ.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5B6626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3.2 </w:t>
            </w:r>
            <w:r w:rsidR="005B6626">
              <w:rPr>
                <w:rFonts w:ascii="GHEA Grapalat" w:eastAsia="GHEA Grapalat" w:hAnsi="GHEA Grapalat" w:cs="GHEA Grapalat"/>
                <w:sz w:val="20"/>
                <w:szCs w:val="20"/>
              </w:rPr>
              <w:t>Լաբորատոր և արտադրական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ենթակառուցվածքների ստեղծում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«Տիեզերական հետազոտությունների կենտրոնի» ստեղծում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Առաջնահերթ և հեռանկարային ուղղություններով հետազոտություններ, փորձարակոնստրուկտորական աշխատանքներ, փորձարկումներ, իրականացնելու համար նախատեսված կենտրոնացված լաբորատորիաների և աշխատանքային տարածքների ստեղծում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Ստեղծված 1 ընդհանուր օգտագործման (հասանելի ընկերություններին, հետազոտական ու կրթական հաստատություններին) լաբորատորիաների կենտրոն: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ԿԳՄՍ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2025թ.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3-րդ եռամսյակ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Երկրի հեռակա դիտարկման ՀՀ երկրորդ արբանյակի համատեղ արտադրություն և գործարկում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Բարձր ավելացված արժեք և զարգացման մեծ հեռանկարներ ունեցող տեխնոլոգիայի տեղայնացում և ազգային կարողությունների զարգացում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ՀՀ մասնավոր ընկերությունների և գիտական կազմակերպությունների և արտերկրյա գործընկերների հետ համագործակցությամբ ստեղծված և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Երկիր մոլորակի ուղեծիր արձակված Երկրի հեռակա դիտարկման 1 արբանյակ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2023– 2025թթ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Երկրի հեռակա դիտարկման ՀՀ երրորդ  արբանյակի նախագծման և </w:t>
            </w:r>
            <w:r w:rsidR="00212B71">
              <w:rPr>
                <w:rFonts w:ascii="GHEA Grapalat" w:eastAsia="GHEA Grapalat" w:hAnsi="GHEA Grapalat" w:cs="GHEA Grapalat"/>
                <w:sz w:val="20"/>
                <w:szCs w:val="20"/>
              </w:rPr>
              <w:t>ստե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ղծման աշխատանքների մեկնարկ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Բարձր ավելացված արժեք և զարգացման մեծ հեռանկարներ ունեցող տեխնոլոգիայի տեղայնացում և ազգային կարողությունների զարգացում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Երկրի հեռակա դիտարկման 3-րդ արբանյակի 1 փորձարարակոնստրուկտորական աշխատանք  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2025-2027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 w:rsidP="000C3BA6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3.3 Տիեզերական գործունեության ոլորտի գիտական հետազոտությունների և մասնավոր ընկերությունների </w:t>
            </w:r>
            <w:r w:rsidR="000C3BA6">
              <w:rPr>
                <w:rFonts w:ascii="GHEA Grapalat" w:eastAsia="GHEA Grapalat" w:hAnsi="GHEA Grapalat" w:cs="GHEA Grapalat"/>
                <w:sz w:val="20"/>
                <w:szCs w:val="20"/>
              </w:rPr>
              <w:t>առաջխաղացման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խթանում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Տիեզերական բնագավառի ուղղություններով գիտական հետազոտությունների և փորձարարկոնստրուկտորական աշխատանքների կատարման ֆինանսական խթանում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Տարեկան առնվազն 4 տարբեր ծավալի գիտական հետազոտությունների և փորձարարկոնստրուկտորական աշխատանքների կատարման համար դրամաշնորհների տրամադրմամբ՝ խթանել ոլորտային տեղական և միջազգային համատեղ հետազոտությունների անցկացումը: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Տարեկան 4 հետազոտությունների և/կամ փորձարարակոնստրուկտորական աշխատանքների ֆինանսավորում:</w:t>
            </w:r>
          </w:p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ԿԳՄՍ</w:t>
            </w: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նախարարություն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2024– 2028թթ.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Հավելյալ ֆինանսավորում չի պահանջում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Ապահովել ՀՀ ոլորտային կազմակերպությունների միջազգային համագործակցությունների ընդլայնում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Ոլորտային համատեղ հետազոտությունների, փորձարարակոնստրուկտորական, մշակման աշխատանքների թվի աճ, ինչպես նաև ուղղակի կապի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ապահովում դինամիկ զարգացող միջազգային շուկայի և հայկական մասնավոր ընկերությունների միջև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 xml:space="preserve">Ապահովել ոլորտային կազմակերպությունների մասնակցություն տարեկան առնվազն 2 ցուցահանդեսների </w:t>
            </w:r>
          </w:p>
          <w:p w:rsidR="00FC51A7" w:rsidRDefault="00FC51A7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Մասնակից կազմակերպությունների կողմից տարեկան առնվազն 3 համագործակցության փաստաթղթերի կնքում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2024-2026թթ.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Հավելյալ ֆինանսավորում չի պահանջում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FC51A7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Pr="009C6C54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3.4</w:t>
            </w:r>
            <w:r>
              <w:t xml:space="preserve"> </w:t>
            </w:r>
            <w:r w:rsidR="00320967" w:rsidRPr="00320967">
              <w:rPr>
                <w:rFonts w:ascii="GHEA Grapalat" w:eastAsia="GHEA Grapalat" w:hAnsi="GHEA Grapalat" w:cs="GHEA Grapalat"/>
                <w:sz w:val="20"/>
                <w:szCs w:val="20"/>
              </w:rPr>
              <w:t>Հանրային քաղաքականության մշակման և իրագործման արդյունավետության բարելավում՝ տիեզերական բնագավառի տեխնոլոգիաների կիրառմամբ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Պետական կառավարման մարմինների տիեզերալուսանկարների պահանջարկի շարունակական ուսումնասիրություն և բավարարում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կառավարման մարմինների համար տիեզերալուսանկարների ձեռքբերման և մշակման ապահովում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կառավարման մարմինների կողմից ներկայացված հայտերի բավարարում</w:t>
            </w:r>
          </w:p>
          <w:p w:rsidR="00FC51A7" w:rsidRDefault="00FC51A7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Հանրային ծառայությունների   որակի բարելավում և համապաասխան այլընտրանքային ծախսերի կրճատում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2024– 2026թթ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պետական բյուջե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Օրենքով չարգելված այլ միջոցներ</w:t>
            </w:r>
          </w:p>
        </w:tc>
      </w:tr>
      <w:tr w:rsidR="00FC51A7" w:rsidTr="001B215A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Ինտեգրում տիեզերական գործունեության ոլորտի միջազգային համայնքին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4․1 Ոլորտային կարևոր միջազգային միջոցառումներին ազգային ներկայացվածության ապահովում։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Մասնակցություն միջազգային ոլորտային միջոցառումներին, որտեղ քննարկվում են ոլորտի ներկա վիճակը, զարգացման ուղղությունները: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Առկա համագործակցությունների ամրապնդում և նոր համագործակցությունների հաստատում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left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Համագործակցության ուղղությունների վեր հանում 6 երկրների հետ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ԲՏԱ նախարարություն</w:t>
            </w:r>
          </w:p>
          <w:p w:rsidR="00FC51A7" w:rsidRDefault="00FC51A7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2023-2028թթ.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A7" w:rsidRDefault="007B5E1C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Հավելյալ ֆինանսավորում չի պահանջում</w:t>
            </w:r>
          </w:p>
        </w:tc>
      </w:tr>
    </w:tbl>
    <w:p w:rsidR="00FC51A7" w:rsidRDefault="007B5E1C">
      <w:pPr>
        <w:tabs>
          <w:tab w:val="left" w:pos="3144"/>
        </w:tabs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"/>
          <w:szCs w:val="2"/>
          <w:highlight w:val="yellow"/>
        </w:rPr>
        <w:t xml:space="preserve"> </w:t>
      </w:r>
    </w:p>
    <w:sectPr w:rsidR="00FC51A7">
      <w:footerReference w:type="default" r:id="rId8"/>
      <w:footerReference w:type="first" r:id="rId9"/>
      <w:pgSz w:w="16834" w:h="11909" w:orient="landscape"/>
      <w:pgMar w:top="850" w:right="245" w:bottom="576" w:left="2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D2" w:rsidRDefault="009D41D2">
      <w:pPr>
        <w:spacing w:after="0" w:line="240" w:lineRule="auto"/>
      </w:pPr>
      <w:r>
        <w:separator/>
      </w:r>
    </w:p>
  </w:endnote>
  <w:endnote w:type="continuationSeparator" w:id="0">
    <w:p w:rsidR="009D41D2" w:rsidRDefault="009D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A7" w:rsidRDefault="007B5E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129D">
      <w:rPr>
        <w:noProof/>
        <w:color w:val="000000"/>
      </w:rPr>
      <w:t>7</w:t>
    </w:r>
    <w:r>
      <w:rPr>
        <w:color w:val="000000"/>
      </w:rPr>
      <w:fldChar w:fldCharType="end"/>
    </w:r>
  </w:p>
  <w:p w:rsidR="00FC51A7" w:rsidRDefault="00FC5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A7" w:rsidRDefault="00FC5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FC51A7" w:rsidRDefault="00FC5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D2" w:rsidRDefault="009D41D2">
      <w:pPr>
        <w:spacing w:after="0" w:line="240" w:lineRule="auto"/>
      </w:pPr>
      <w:r>
        <w:separator/>
      </w:r>
    </w:p>
  </w:footnote>
  <w:footnote w:type="continuationSeparator" w:id="0">
    <w:p w:rsidR="009D41D2" w:rsidRDefault="009D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06A"/>
    <w:multiLevelType w:val="multilevel"/>
    <w:tmpl w:val="E1BC72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A7"/>
    <w:rsid w:val="0003738E"/>
    <w:rsid w:val="000C3BA6"/>
    <w:rsid w:val="00140B9D"/>
    <w:rsid w:val="00183FF5"/>
    <w:rsid w:val="001B215A"/>
    <w:rsid w:val="00212B71"/>
    <w:rsid w:val="00320967"/>
    <w:rsid w:val="005A6644"/>
    <w:rsid w:val="005B6626"/>
    <w:rsid w:val="007B5E1C"/>
    <w:rsid w:val="00832875"/>
    <w:rsid w:val="009C21C5"/>
    <w:rsid w:val="009C6C54"/>
    <w:rsid w:val="009D41D2"/>
    <w:rsid w:val="00A425E5"/>
    <w:rsid w:val="00AA5864"/>
    <w:rsid w:val="00C54A0E"/>
    <w:rsid w:val="00D051E2"/>
    <w:rsid w:val="00DB2641"/>
    <w:rsid w:val="00DF3381"/>
    <w:rsid w:val="00E7129D"/>
    <w:rsid w:val="00FC51A7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942F"/>
  <w15:docId w15:val="{D99C4666-D1FF-4FD5-A554-CFF303E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B2"/>
  </w:style>
  <w:style w:type="paragraph" w:styleId="Heading1">
    <w:name w:val="heading 1"/>
    <w:basedOn w:val="Normal"/>
    <w:next w:val="Normal"/>
    <w:link w:val="Heading1Char"/>
    <w:uiPriority w:val="9"/>
    <w:qFormat/>
    <w:rsid w:val="00AF1D4D"/>
    <w:pPr>
      <w:keepNext/>
      <w:keepLines/>
      <w:spacing w:before="240" w:after="0"/>
      <w:jc w:val="center"/>
      <w:outlineLvl w:val="0"/>
    </w:pPr>
    <w:rPr>
      <w:rFonts w:ascii="GHEA Grapalat" w:eastAsiaTheme="majorEastAsia" w:hAnsi="GHEA Grapalat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D4D"/>
    <w:pPr>
      <w:keepNext/>
      <w:keepLines/>
      <w:spacing w:before="40" w:after="0"/>
      <w:outlineLvl w:val="1"/>
    </w:pPr>
    <w:rPr>
      <w:rFonts w:ascii="GHEA Grapalat" w:eastAsiaTheme="majorEastAsia" w:hAnsi="GHEA Grapalat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7C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7C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7C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7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857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C5F7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3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1F"/>
  </w:style>
  <w:style w:type="paragraph" w:styleId="Footer">
    <w:name w:val="footer"/>
    <w:basedOn w:val="Normal"/>
    <w:link w:val="FooterChar"/>
    <w:uiPriority w:val="99"/>
    <w:unhideWhenUsed/>
    <w:rsid w:val="0047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1F"/>
  </w:style>
  <w:style w:type="character" w:customStyle="1" w:styleId="Heading1Char">
    <w:name w:val="Heading 1 Char"/>
    <w:basedOn w:val="DefaultParagraphFont"/>
    <w:link w:val="Heading1"/>
    <w:uiPriority w:val="9"/>
    <w:rsid w:val="00AF1D4D"/>
    <w:rPr>
      <w:rFonts w:ascii="GHEA Grapalat" w:eastAsiaTheme="majorEastAsia" w:hAnsi="GHEA Grapalat" w:cstheme="majorBidi"/>
      <w:b/>
      <w:color w:val="262626" w:themeColor="text1" w:themeTint="D9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D4D"/>
    <w:rPr>
      <w:rFonts w:ascii="GHEA Grapalat" w:eastAsiaTheme="majorEastAsia" w:hAnsi="GHEA Grapalat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7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7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7C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7C"/>
  </w:style>
  <w:style w:type="character" w:customStyle="1" w:styleId="Heading7Char">
    <w:name w:val="Heading 7 Char"/>
    <w:basedOn w:val="DefaultParagraphFont"/>
    <w:link w:val="Heading7"/>
    <w:uiPriority w:val="9"/>
    <w:semiHidden/>
    <w:rsid w:val="007C5F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7C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7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C5F7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C5F7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C5F7C"/>
    <w:rPr>
      <w:i/>
      <w:iCs/>
      <w:color w:val="auto"/>
    </w:rPr>
  </w:style>
  <w:style w:type="paragraph" w:styleId="NoSpacing">
    <w:name w:val="No Spacing"/>
    <w:uiPriority w:val="1"/>
    <w:qFormat/>
    <w:rsid w:val="007C5F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F7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F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7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7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C5F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5F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5F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5F7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C5F7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5F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734E"/>
    <w:pPr>
      <w:tabs>
        <w:tab w:val="right" w:leader="dot" w:pos="901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87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66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0E5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15379"/>
    <w:pPr>
      <w:spacing w:after="100"/>
      <w:ind w:left="220"/>
    </w:pPr>
  </w:style>
  <w:style w:type="table" w:styleId="TableGrid">
    <w:name w:val="Table Grid"/>
    <w:basedOn w:val="TableNormal"/>
    <w:uiPriority w:val="39"/>
    <w:rsid w:val="009A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seU69xt2kTmu9sWF5j6pU2+Dg==">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Shahverdyan</dc:creator>
  <cp:lastModifiedBy>Ararat Sahakyan</cp:lastModifiedBy>
  <cp:revision>15</cp:revision>
  <dcterms:created xsi:type="dcterms:W3CDTF">2022-03-03T07:39:00Z</dcterms:created>
  <dcterms:modified xsi:type="dcterms:W3CDTF">2022-11-22T06:12:00Z</dcterms:modified>
</cp:coreProperties>
</file>