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5" w:rsidRPr="008F4F36" w:rsidRDefault="001221A5" w:rsidP="008F4F36">
      <w:pPr>
        <w:pStyle w:val="NoSpacing"/>
        <w:spacing w:line="276" w:lineRule="auto"/>
        <w:ind w:left="-284" w:right="-472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8F4F3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221A5" w:rsidRPr="008F4F36" w:rsidRDefault="00974556" w:rsidP="008F4F36">
      <w:pPr>
        <w:pStyle w:val="NoSpacing"/>
        <w:spacing w:line="276" w:lineRule="auto"/>
        <w:ind w:left="-284" w:right="-472" w:firstLine="284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8F4F36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«ՇՈՒԿԱՅԻ ՎԵՐԱՀՍԿՈՂՈՒԹՅԱՆ ՄԱՍԻՆ» 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ՕՐԵՆՔԻ </w:t>
      </w:r>
      <w:r w:rsidR="00BF4987" w:rsidRPr="008F4F3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</w:p>
    <w:p w:rsidR="001F54CB" w:rsidRPr="00C768CA" w:rsidRDefault="001F54CB" w:rsidP="008F4F36">
      <w:pPr>
        <w:ind w:left="-284" w:right="-472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46F9" w:rsidRPr="00C768CA" w:rsidRDefault="001221A5" w:rsidP="008F4F36">
      <w:pPr>
        <w:pStyle w:val="NormalWeb"/>
        <w:tabs>
          <w:tab w:val="left" w:pos="567"/>
        </w:tabs>
        <w:spacing w:before="0" w:beforeAutospacing="0" w:after="240" w:afterAutospacing="0" w:line="276" w:lineRule="auto"/>
        <w:ind w:left="-284" w:right="-472" w:firstLine="284"/>
        <w:jc w:val="both"/>
        <w:rPr>
          <w:rFonts w:ascii="GHEA Grapalat" w:hAnsi="GHEA Grapalat"/>
          <w:b/>
          <w:lang w:val="hy-AM"/>
        </w:rPr>
      </w:pPr>
      <w:r w:rsidRPr="00C768CA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8F4F36" w:rsidRDefault="008F4F36" w:rsidP="008F4F36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284"/>
        <w:jc w:val="both"/>
        <w:rPr>
          <w:rFonts w:ascii="GHEA Grapalat" w:hAnsi="GHEA Grapalat" w:cs="Sylfaen"/>
          <w:spacing w:val="-2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 xml:space="preserve">      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Համաձայն «Տեսչական մարմինների մասին» </w:t>
      </w:r>
      <w:r w:rsidR="006260CB" w:rsidRPr="008F4F36">
        <w:rPr>
          <w:rFonts w:ascii="GHEA Grapalat" w:hAnsi="GHEA Grapalat" w:cs="Sylfaen"/>
          <w:spacing w:val="-2"/>
          <w:lang w:val="hy-AM"/>
        </w:rPr>
        <w:t>օրենքի 3-րդ հոդվածի 1-ին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 մասի 1-ին կետի՝ տեսչական մարմինը </w:t>
      </w:r>
      <w:r w:rsidR="002646F9" w:rsidRPr="008F4F36">
        <w:rPr>
          <w:rFonts w:ascii="GHEA Grapalat" w:hAnsi="GHEA Grapalat"/>
          <w:color w:val="000000"/>
          <w:shd w:val="clear" w:color="auto" w:fill="FFFFFF"/>
          <w:lang w:val="hy-AM"/>
        </w:rPr>
        <w:t>վերահսկողություն և օրենքով սահմանված այլ գործառույթներ իրականացնող պետական մարմին է, իսկ նույն հոդվածի 1-ին մասի 1.2-րդ կետի համաձայն տեսչական մարմնի վերահսկողության ոլորտը օրենքով սահմանված ոլորտն է կամ ոլորտի մասը, որի նկատմամբ տեսչական մարմինը Հայաստանի Հանրապետության կառավարության կողմից ճանաչվում է վերահսկողություն իրականացնող լիազոր մարմին: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5140A1" w:rsidRPr="008F4F36">
        <w:rPr>
          <w:rFonts w:ascii="GHEA Grapalat" w:hAnsi="GHEA Grapalat" w:cs="Sylfaen"/>
          <w:spacing w:val="-2"/>
          <w:lang w:val="hy-AM"/>
        </w:rPr>
        <w:tab/>
      </w:r>
      <w:r w:rsidR="005140A1" w:rsidRPr="008F4F36">
        <w:rPr>
          <w:rFonts w:ascii="GHEA Grapalat" w:hAnsi="GHEA Grapalat" w:cs="Sylfaen"/>
          <w:spacing w:val="-2"/>
          <w:lang w:val="hy-AM"/>
        </w:rPr>
        <w:tab/>
      </w:r>
      <w:r w:rsidR="005140A1" w:rsidRPr="008F4F36">
        <w:rPr>
          <w:rFonts w:ascii="GHEA Grapalat" w:hAnsi="GHEA Grapalat" w:cs="Sylfaen"/>
          <w:spacing w:val="-2"/>
          <w:lang w:val="hy-AM"/>
        </w:rPr>
        <w:tab/>
      </w:r>
      <w:r w:rsidR="005140A1" w:rsidRPr="008F4F36">
        <w:rPr>
          <w:rFonts w:ascii="GHEA Grapalat" w:hAnsi="GHEA Grapalat" w:cs="Sylfaen"/>
          <w:spacing w:val="-2"/>
          <w:lang w:val="hy-AM"/>
        </w:rPr>
        <w:tab/>
      </w:r>
    </w:p>
    <w:p w:rsidR="008F4F36" w:rsidRDefault="008F4F36" w:rsidP="008F4F36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spacing w:val="-2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 xml:space="preserve">    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«Պետական կառավարման համակարգի մարմինների մասին» օրենքի 4-րդ հոդվածի 2-րդ մասի 9-րդ կետի համաձայն </w:t>
      </w:r>
      <w:r w:rsidR="00FD6A0B" w:rsidRPr="008F4F36">
        <w:rPr>
          <w:rFonts w:ascii="GHEA Grapalat" w:hAnsi="GHEA Grapalat" w:cs="Sylfaen"/>
          <w:spacing w:val="-2"/>
          <w:lang w:val="hy-AM"/>
        </w:rPr>
        <w:t xml:space="preserve">Կառավարությանը ենթակա մարմին է հանդիսանում նաև </w:t>
      </w:r>
      <w:r w:rsidR="002646F9" w:rsidRPr="008F4F36">
        <w:rPr>
          <w:rFonts w:ascii="GHEA Grapalat" w:hAnsi="GHEA Grapalat" w:cs="Sylfaen"/>
          <w:spacing w:val="-2"/>
          <w:lang w:val="hy-AM"/>
        </w:rPr>
        <w:t>շուկայի վերահսկողության տեսչական մարմինը (այսուհետ՝ տեսչական մարմին):</w:t>
      </w:r>
      <w:r w:rsidR="005140A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2646F9" w:rsidRPr="008F4F3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 կառավարության 2019 թվականի օգոստոսի 22-ի N 1071-</w:t>
      </w:r>
      <w:r w:rsidR="00BE4C1D" w:rsidRPr="008F4F36">
        <w:rPr>
          <w:rFonts w:ascii="GHEA Grapalat" w:hAnsi="GHEA Grapalat" w:cs="Sylfaen"/>
          <w:spacing w:val="-2"/>
          <w:lang w:val="hy-AM"/>
        </w:rPr>
        <w:t>Ա որոշման 4-րդ կետով սահմանված են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 տեսչական մ</w:t>
      </w:r>
      <w:r w:rsidR="00BE4C1D" w:rsidRPr="008F4F36">
        <w:rPr>
          <w:rFonts w:ascii="GHEA Grapalat" w:hAnsi="GHEA Grapalat" w:cs="Sylfaen"/>
          <w:spacing w:val="-2"/>
          <w:lang w:val="hy-AM"/>
        </w:rPr>
        <w:t xml:space="preserve">արմնի վերահսկողության ոլորտները, մասնավորապես՝ </w:t>
      </w:r>
      <w:r w:rsidR="00446181" w:rsidRPr="008F4F36">
        <w:rPr>
          <w:rFonts w:ascii="GHEA Grapalat" w:hAnsi="GHEA Grapalat" w:cs="GHEA Grapalat"/>
          <w:spacing w:val="-2"/>
          <w:lang w:val="hy-AM"/>
        </w:rPr>
        <w:t>Շուկայի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վերահսկողության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տեսչական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մարմինը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ճանաչվել է </w:t>
      </w:r>
      <w:r w:rsidR="00446181" w:rsidRPr="008F4F36">
        <w:rPr>
          <w:rFonts w:ascii="GHEA Grapalat" w:hAnsi="GHEA Grapalat" w:cs="GHEA Grapalat"/>
          <w:spacing w:val="-2"/>
          <w:lang w:val="hy-AM"/>
        </w:rPr>
        <w:t>վերահսկողություն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իրականացնող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լիազոր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GHEA Grapalat"/>
          <w:spacing w:val="-2"/>
          <w:lang w:val="hy-AM"/>
        </w:rPr>
        <w:t>մարմին</w:t>
      </w:r>
      <w:r w:rsidR="00C44C1E" w:rsidRPr="008F4F36">
        <w:rPr>
          <w:rFonts w:ascii="GHEA Grapalat" w:hAnsi="GHEA Grapalat" w:cs="GHEA Grapalat"/>
          <w:spacing w:val="-2"/>
          <w:lang w:val="hy-AM"/>
        </w:rPr>
        <w:t>՝</w:t>
      </w:r>
      <w:r w:rsidR="00446181" w:rsidRPr="008F4F36">
        <w:rPr>
          <w:rFonts w:ascii="GHEA Grapalat" w:hAnsi="GHEA Grapalat" w:cs="Sylfaen"/>
          <w:spacing w:val="-2"/>
          <w:lang w:val="hy-AM"/>
        </w:rPr>
        <w:t xml:space="preserve"> </w:t>
      </w:r>
      <w:r w:rsidR="00446181" w:rsidRPr="008F4F36">
        <w:rPr>
          <w:rFonts w:ascii="GHEA Grapalat" w:hAnsi="GHEA Grapalat" w:cs="Sylfaen"/>
          <w:i/>
          <w:spacing w:val="-2"/>
          <w:lang w:val="hy-AM"/>
        </w:rPr>
        <w:t>ո</w:t>
      </w:r>
      <w:r w:rsidR="00BE4C1D" w:rsidRPr="008F4F36">
        <w:rPr>
          <w:rFonts w:ascii="GHEA Grapalat" w:hAnsi="GHEA Grapalat" w:cs="Sylfaen"/>
          <w:i/>
          <w:spacing w:val="-2"/>
          <w:lang w:val="hy-AM"/>
        </w:rPr>
        <w:t>չ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պահպանման, չափումների միասնականության ապահովման, թանկարժեք մետաղներից պատրաստված իրերի հարգորոշման և հարգադրոշմման պայմանների պահպանման, թանկարժեք մետաղների, թանկարժեք մետաղներից պատրաստված իրերի մասնագիտացված, այդ թվում` մանրածախ առուվաճառքի և դրանցով գործարքների իրականացման, համապատասխանության գնահատման, արտադրական կանեփի արտադրության, ինչպես նաև արտահանման, ներմուծման կամ մեծածախ առևտրի օրինական շրջանառություն իրականացնելու</w:t>
      </w:r>
      <w:r w:rsidR="00BE4C1D" w:rsidRPr="008F4F36">
        <w:rPr>
          <w:rFonts w:ascii="Calibri" w:hAnsi="Calibri" w:cs="Calibri"/>
          <w:i/>
          <w:spacing w:val="-2"/>
          <w:lang w:val="hy-AM"/>
        </w:rPr>
        <w:t> </w:t>
      </w:r>
      <w:r w:rsidR="00BE4C1D" w:rsidRPr="008F4F36">
        <w:rPr>
          <w:rFonts w:ascii="GHEA Grapalat" w:hAnsi="GHEA Grapalat" w:cs="GHEA Grapalat"/>
          <w:i/>
          <w:spacing w:val="-2"/>
          <w:lang w:val="hy-AM"/>
        </w:rPr>
        <w:t>ոլորտների</w:t>
      </w:r>
      <w:r w:rsidR="00BE4C1D" w:rsidRPr="008F4F36">
        <w:rPr>
          <w:rFonts w:ascii="GHEA Grapalat" w:hAnsi="GHEA Grapalat" w:cs="Sylfaen"/>
          <w:i/>
          <w:spacing w:val="-2"/>
          <w:lang w:val="hy-AM"/>
        </w:rPr>
        <w:t xml:space="preserve"> </w:t>
      </w:r>
      <w:r w:rsidR="00BE4C1D" w:rsidRPr="008F4F36">
        <w:rPr>
          <w:rFonts w:ascii="GHEA Grapalat" w:hAnsi="GHEA Grapalat" w:cs="GHEA Grapalat"/>
          <w:i/>
          <w:spacing w:val="-2"/>
          <w:lang w:val="hy-AM"/>
        </w:rPr>
        <w:t>նկատմամբ</w:t>
      </w:r>
      <w:r w:rsidR="00C44C1E" w:rsidRPr="008F4F36">
        <w:rPr>
          <w:rFonts w:ascii="GHEA Grapalat" w:hAnsi="GHEA Grapalat" w:cs="Sylfaen"/>
          <w:spacing w:val="-2"/>
          <w:lang w:val="hy-AM"/>
        </w:rPr>
        <w:t>:</w:t>
      </w:r>
      <w:r w:rsidR="00DB38BB" w:rsidRPr="008F4F36"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       </w:t>
      </w:r>
    </w:p>
    <w:p w:rsidR="00243D83" w:rsidRPr="008F4F36" w:rsidRDefault="00DB38BB" w:rsidP="008F4F36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spacing w:val="-2"/>
          <w:lang w:val="hy-AM"/>
        </w:rPr>
      </w:pPr>
      <w:r w:rsidRPr="008F4F36">
        <w:rPr>
          <w:rFonts w:ascii="GHEA Grapalat" w:hAnsi="GHEA Grapalat" w:cs="Sylfaen"/>
          <w:spacing w:val="-2"/>
          <w:lang w:val="hy-AM"/>
        </w:rPr>
        <w:t>Այսպիսով, հ</w:t>
      </w:r>
      <w:r w:rsidR="002646F9" w:rsidRPr="008F4F36">
        <w:rPr>
          <w:rFonts w:ascii="GHEA Grapalat" w:hAnsi="GHEA Grapalat" w:cs="Sylfaen"/>
          <w:spacing w:val="-2"/>
          <w:lang w:val="hy-AM"/>
        </w:rPr>
        <w:t xml:space="preserve">աշվի առնելով տեսչական մարմնի վերահսկողության ոլորտների առանձնահատկությունները և այդ ոլորտները կարգավորող օրենքների՝ վերահսկողությանն առնչվող նորմերի ներդաշնակության անհրաժեշտությունը՝ անհրաժեշտություն է առաջացել </w:t>
      </w:r>
      <w:r w:rsidR="00243D83" w:rsidRPr="008F4F36">
        <w:rPr>
          <w:rFonts w:ascii="GHEA Grapalat" w:hAnsi="GHEA Grapalat" w:cs="Sylfaen"/>
          <w:spacing w:val="-2"/>
          <w:lang w:val="hy-AM"/>
        </w:rPr>
        <w:t>ընդունել տեսչական մարմնի գործունեությունը կարգավորող օրենք:</w:t>
      </w:r>
    </w:p>
    <w:p w:rsidR="00243D83" w:rsidRPr="00C768CA" w:rsidRDefault="00243D83" w:rsidP="008F4F36">
      <w:pPr>
        <w:pStyle w:val="NormalWeb"/>
        <w:tabs>
          <w:tab w:val="left" w:pos="851"/>
          <w:tab w:val="left" w:pos="1134"/>
        </w:tabs>
        <w:spacing w:line="276" w:lineRule="auto"/>
        <w:ind w:left="-284" w:right="-472" w:firstLine="284"/>
        <w:jc w:val="both"/>
        <w:rPr>
          <w:rFonts w:ascii="GHEA Grapalat" w:hAnsi="GHEA Grapalat"/>
          <w:b/>
          <w:lang w:val="hy-AM"/>
        </w:rPr>
      </w:pPr>
      <w:r w:rsidRPr="00C768CA">
        <w:rPr>
          <w:rFonts w:ascii="GHEA Grapalat" w:hAnsi="GHEA Grapalat"/>
          <w:b/>
          <w:lang w:val="hy-AM"/>
        </w:rPr>
        <w:lastRenderedPageBreak/>
        <w:t>2. Առաջարկվող կարգավորման բնույթը</w:t>
      </w:r>
    </w:p>
    <w:p w:rsidR="008F4F36" w:rsidRDefault="008F4F36" w:rsidP="008F4F36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 xml:space="preserve"> </w:t>
      </w:r>
      <w:r w:rsidR="00243D8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Նախագծով առաջարկվում է ընդունել «Շուկայի վերահսկողության մասին» </w:t>
      </w:r>
      <w:r w:rsidR="003F4DA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օրենք</w:t>
      </w:r>
      <w:r w:rsidR="00243D8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, </w:t>
      </w:r>
      <w:r w:rsidR="003F4DA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որով </w:t>
      </w:r>
      <w:r w:rsidR="00D03251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սահմանվում են </w:t>
      </w:r>
      <w:r w:rsidR="00D03251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>օրենքի կարգավորման առարկան և գործողության ոլորտը, համապատասխան հասկացությունները</w:t>
      </w:r>
      <w:r w:rsidR="008D1792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>, շուկայի վերահսկո</w:t>
      </w:r>
      <w:r w:rsidR="00210291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>ղության հիմնական սկզբունքները,</w:t>
      </w:r>
      <w:r w:rsidR="005B0936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 տեսչական մարմնի գործառույթները, </w:t>
      </w:r>
      <w:r w:rsidR="00210291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>իրականացվող վերահսկո</w:t>
      </w:r>
      <w:r w:rsidR="00C85BAA"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>ղության առանձնահատկությունները</w:t>
      </w:r>
      <w:r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 և ձևերը, մասնավորապես՝ </w:t>
      </w:r>
      <w:r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օրենքի </w:t>
      </w:r>
      <w:r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նախագծով նախատեսվում է սահմանել մշտադիտարկման վերահսկողության ձև, որը </w:t>
      </w:r>
      <w:r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հնարավորություն կընձեռի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տեսչական </w:t>
      </w:r>
      <w:r w:rsidRPr="008F4F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մարմնին վերապահված վերահսկողության ոլորտում իրականաց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նել</w:t>
      </w:r>
      <w:r w:rsidRPr="008F4F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գործողությունների համալիր, որն ուղղված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լինելու </w:t>
      </w:r>
      <w:r w:rsidRPr="008F4F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վերհանելու տվյալ ոլորտում առկա ռիսկերը և կանխարգելելու վտանգավոր արտադրանքի շրջանառությունը շուկայում. </w:t>
      </w:r>
    </w:p>
    <w:p w:rsidR="00243D83" w:rsidRDefault="008F4F36" w:rsidP="008F4F36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Միաժամանակ, օրենքի նախագծով նաև նախատեսվում </w:t>
      </w:r>
      <w:r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է </w:t>
      </w:r>
      <w:r w:rsidRPr="008F4F36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սահմանել շուկայի վերահսկողության </w:t>
      </w:r>
      <w:r w:rsidR="00243D8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ոլորտում Հ</w:t>
      </w:r>
      <w:r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այաստանի </w:t>
      </w:r>
      <w:r w:rsidR="00243D8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անրապետության </w:t>
      </w:r>
      <w:r w:rsidR="00243D83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կառավարության լիազորությունները, ինչպես նաև վերահսկողություն իրականացնող անձանց և տնտեսավարողների իրավունքները և պարտականությունները:</w:t>
      </w:r>
    </w:p>
    <w:p w:rsidR="008F4F36" w:rsidRPr="008F4F36" w:rsidRDefault="008F4F36" w:rsidP="008F4F36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</w:p>
    <w:p w:rsidR="001221A5" w:rsidRPr="00C768CA" w:rsidRDefault="001221A5" w:rsidP="008F4F36">
      <w:pPr>
        <w:pStyle w:val="NormalWeb"/>
        <w:spacing w:before="0" w:beforeAutospacing="0" w:after="240" w:afterAutospacing="0" w:line="276" w:lineRule="auto"/>
        <w:ind w:left="-284" w:right="-472" w:firstLine="284"/>
        <w:rPr>
          <w:rFonts w:ascii="GHEA Grapalat" w:hAnsi="GHEA Grapalat"/>
          <w:b/>
          <w:lang w:val="hy-AM"/>
        </w:rPr>
      </w:pPr>
      <w:r w:rsidRPr="00C768CA">
        <w:rPr>
          <w:rFonts w:ascii="GHEA Grapalat" w:hAnsi="GHEA Grapalat"/>
          <w:b/>
          <w:lang w:val="hy-AM"/>
        </w:rPr>
        <w:t>3. Նախագծի մշակման գործընթ</w:t>
      </w:r>
      <w:r w:rsidR="00326ED7" w:rsidRPr="00C768CA">
        <w:rPr>
          <w:rFonts w:ascii="GHEA Grapalat" w:hAnsi="GHEA Grapalat"/>
          <w:b/>
          <w:lang w:val="hy-AM"/>
        </w:rPr>
        <w:t>ացում ներգրավված ինստիտուտները</w:t>
      </w:r>
    </w:p>
    <w:p w:rsidR="007E5F7B" w:rsidRPr="008F4F36" w:rsidRDefault="001221A5" w:rsidP="008F4F36">
      <w:pPr>
        <w:pStyle w:val="BodyTextIndent3"/>
        <w:tabs>
          <w:tab w:val="left" w:pos="851"/>
          <w:tab w:val="left" w:pos="993"/>
        </w:tabs>
        <w:spacing w:after="0" w:line="276" w:lineRule="auto"/>
        <w:ind w:left="-284" w:right="-472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4F36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է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F36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r w:rsidR="00B36403" w:rsidRPr="008F4F36">
        <w:rPr>
          <w:rFonts w:ascii="GHEA Grapalat" w:hAnsi="GHEA Grapalat" w:cs="Sylfaen"/>
          <w:sz w:val="24"/>
          <w:szCs w:val="24"/>
          <w:lang w:val="hy-AM"/>
        </w:rPr>
        <w:t xml:space="preserve">և շուկայի վերահսկողության տեսչական մարմնի </w:t>
      </w:r>
      <w:r w:rsidRPr="008F4F3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B36403" w:rsidRPr="008F4F36">
        <w:rPr>
          <w:rFonts w:ascii="GHEA Grapalat" w:hAnsi="GHEA Grapalat" w:cs="Sylfaen"/>
          <w:sz w:val="24"/>
          <w:szCs w:val="24"/>
          <w:lang w:val="hy-AM"/>
        </w:rPr>
        <w:t xml:space="preserve"> համատեղ</w:t>
      </w:r>
      <w:r w:rsidRPr="008F4F36">
        <w:rPr>
          <w:rFonts w:ascii="GHEA Grapalat" w:hAnsi="GHEA Grapalat"/>
          <w:sz w:val="24"/>
          <w:szCs w:val="24"/>
          <w:lang w:val="hy-AM"/>
        </w:rPr>
        <w:t>:</w:t>
      </w:r>
      <w:r w:rsidRPr="008F4F3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221A5" w:rsidRPr="008F4F36" w:rsidRDefault="001221A5" w:rsidP="008F4F36">
      <w:pPr>
        <w:pStyle w:val="BodyTextIndent3"/>
        <w:tabs>
          <w:tab w:val="left" w:pos="851"/>
          <w:tab w:val="left" w:pos="993"/>
        </w:tabs>
        <w:spacing w:after="0" w:line="276" w:lineRule="auto"/>
        <w:ind w:left="-284" w:right="-472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21A5" w:rsidRPr="00C768CA" w:rsidRDefault="001221A5" w:rsidP="008F4F36">
      <w:pPr>
        <w:pStyle w:val="NormalWeb"/>
        <w:spacing w:before="0" w:beforeAutospacing="0" w:after="240" w:afterAutospacing="0" w:line="276" w:lineRule="auto"/>
        <w:ind w:left="-284" w:right="-472" w:firstLine="284"/>
        <w:rPr>
          <w:rFonts w:ascii="GHEA Grapalat" w:hAnsi="GHEA Grapalat"/>
          <w:b/>
          <w:lang w:val="hy-AM"/>
        </w:rPr>
      </w:pPr>
      <w:r w:rsidRPr="00C768CA">
        <w:rPr>
          <w:rFonts w:ascii="GHEA Grapalat" w:hAnsi="GHEA Grapalat"/>
          <w:b/>
          <w:lang w:val="hy-AM"/>
        </w:rPr>
        <w:t>4. Ակնկալվող արդյունքը</w:t>
      </w:r>
    </w:p>
    <w:p w:rsidR="00662F32" w:rsidRPr="008F4F36" w:rsidRDefault="00C768CA" w:rsidP="008F4F36">
      <w:pPr>
        <w:pStyle w:val="BodyTextIndent3"/>
        <w:tabs>
          <w:tab w:val="left" w:pos="851"/>
          <w:tab w:val="left" w:pos="993"/>
        </w:tabs>
        <w:spacing w:after="0" w:line="276" w:lineRule="auto"/>
        <w:ind w:left="-284" w:right="-472" w:firstLine="284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21A5" w:rsidRPr="008F4F36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թույլ  կտա կանոնակարգել </w:t>
      </w:r>
      <w:r w:rsidR="00662F32" w:rsidRPr="008F4F36">
        <w:rPr>
          <w:rFonts w:ascii="GHEA Grapalat" w:hAnsi="GHEA Grapalat" w:cs="Sylfaen"/>
          <w:sz w:val="24"/>
          <w:szCs w:val="24"/>
          <w:lang w:val="hy-AM"/>
        </w:rPr>
        <w:t xml:space="preserve">և առավել արդյունավետ դարձնել </w:t>
      </w:r>
      <w:r w:rsidR="00662F32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տեսչական մարմնի կողմից ոչ պարենային արտադրանքի, թանկարժեք մետաղների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,</w:t>
      </w:r>
      <w:r w:rsidR="00662F32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չափումների միասնականության ապահովման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, ինչպես նաև արտադրական կանեփի արտադրության, ներմուծման, արտահանման կամ մեծածախ առևտրի </w:t>
      </w:r>
      <w:r w:rsidR="00662F32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ոլորտներում ռիսկերի կառավարումը, անվտանգության ապահովումը, Հայաստանի Հանրապետության </w:t>
      </w:r>
      <w:r w:rsidR="008645ED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օրենսդրությամբ սահմանված </w:t>
      </w:r>
      <w:r w:rsidR="00662F32" w:rsidRPr="008F4F36">
        <w:rPr>
          <w:rFonts w:ascii="GHEA Grapalat" w:hAnsi="GHEA Grapalat" w:cs="Sylfaen"/>
          <w:spacing w:val="-2"/>
          <w:sz w:val="24"/>
          <w:szCs w:val="24"/>
          <w:lang w:val="hy-AM"/>
        </w:rPr>
        <w:t>պահանջների պահպանումը, ինչպես նաև կանխարգելիչ միջոցառումների իրականացումը:</w:t>
      </w:r>
    </w:p>
    <w:p w:rsidR="008645ED" w:rsidRPr="008F4F36" w:rsidRDefault="008645ED" w:rsidP="008F4F36">
      <w:pPr>
        <w:pStyle w:val="BodyTextIndent3"/>
        <w:tabs>
          <w:tab w:val="left" w:pos="851"/>
          <w:tab w:val="left" w:pos="993"/>
        </w:tabs>
        <w:spacing w:after="0" w:line="276" w:lineRule="auto"/>
        <w:ind w:left="-284" w:right="-472" w:firstLine="284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:rsidR="008645ED" w:rsidRPr="008F4F36" w:rsidRDefault="008645ED" w:rsidP="008F4F36">
      <w:pPr>
        <w:pStyle w:val="BodyTextIndent3"/>
        <w:tabs>
          <w:tab w:val="left" w:pos="851"/>
          <w:tab w:val="left" w:pos="993"/>
        </w:tabs>
        <w:spacing w:after="0" w:line="276" w:lineRule="auto"/>
        <w:ind w:left="-284" w:right="-472" w:firstLine="284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:rsidR="008645ED" w:rsidRPr="008F4F36" w:rsidRDefault="008645ED" w:rsidP="008F4F36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-284" w:right="-472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4F36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8F4F36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8645ED" w:rsidRDefault="008645ED" w:rsidP="00C768CA">
      <w:pPr>
        <w:spacing w:after="0"/>
        <w:ind w:left="-284" w:right="-472" w:firstLine="568"/>
        <w:jc w:val="both"/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 w:eastAsia="en-GB"/>
        </w:rPr>
      </w:pPr>
      <w:r w:rsidRPr="008F4F36">
        <w:rPr>
          <w:rFonts w:ascii="GHEA Grapalat" w:hAnsi="GHEA Grapalat"/>
          <w:sz w:val="24"/>
          <w:szCs w:val="24"/>
          <w:lang w:val="hy-AM"/>
        </w:rPr>
        <w:lastRenderedPageBreak/>
        <w:t>Նախագիծը բխում</w:t>
      </w:r>
      <w:r w:rsidR="00F8074D" w:rsidRPr="008F4F36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8F4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74D" w:rsidRPr="008F4F36">
        <w:rPr>
          <w:rStyle w:val="Strong"/>
          <w:rFonts w:ascii="GHEA Grapalat" w:hAnsi="GHEA Grapalat"/>
          <w:b w:val="0"/>
          <w:color w:val="000000" w:themeColor="text1"/>
          <w:sz w:val="24"/>
          <w:shd w:val="clear" w:color="auto" w:fill="FFFFFF"/>
          <w:lang w:val="hy-AM" w:eastAsia="en-GB"/>
        </w:rPr>
        <w:t xml:space="preserve">Հայաստանի Հանրապետության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հավելվածի 14.1 ենթակետի պահանջներից, մասնավորապես՝ «Շուկայի վերահսկողության մասին» ՀՀ օրենքի նախագծի ներկայացում կառավարության հաստատմանը:»: </w:t>
      </w:r>
    </w:p>
    <w:p w:rsidR="00C768CA" w:rsidRPr="008F4F36" w:rsidRDefault="00C768CA" w:rsidP="00C768CA">
      <w:pPr>
        <w:spacing w:after="0"/>
        <w:ind w:left="-284" w:right="-472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:rsidR="008645ED" w:rsidRPr="008F4F36" w:rsidRDefault="008645ED" w:rsidP="008F4F36">
      <w:pPr>
        <w:spacing w:after="0"/>
        <w:ind w:left="-284" w:right="-472" w:firstLine="284"/>
        <w:contextualSpacing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8F4F36">
        <w:rPr>
          <w:rFonts w:ascii="GHEA Grapalat" w:hAnsi="GHEA Grapalat"/>
          <w:b/>
          <w:sz w:val="24"/>
          <w:szCs w:val="24"/>
          <w:lang w:val="hy-AM" w:eastAsia="ru-RU"/>
        </w:rPr>
        <w:t>6.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Այլ</w:t>
      </w:r>
      <w:r w:rsidRPr="008F4F3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նորմատիվ</w:t>
      </w:r>
      <w:r w:rsidRPr="008F4F3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իրավական</w:t>
      </w:r>
      <w:r w:rsidRPr="008F4F3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ակտերի</w:t>
      </w:r>
      <w:r w:rsidRPr="008F4F3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</w:t>
      </w:r>
      <w:r w:rsidRPr="008F4F3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8F4F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անհրաժեշտության վերաբերյալ</w:t>
      </w:r>
    </w:p>
    <w:p w:rsidR="008645ED" w:rsidRPr="008F4F36" w:rsidRDefault="00C768CA" w:rsidP="008F4F36">
      <w:pPr>
        <w:spacing w:after="240"/>
        <w:ind w:left="-284" w:right="-472" w:firstLine="284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Ն</w:t>
      </w:r>
      <w:r w:rsidR="008645ED" w:rsidRPr="008F4F36">
        <w:rPr>
          <w:rFonts w:ascii="GHEA Grapalat" w:hAnsi="GHEA Grapalat"/>
          <w:sz w:val="24"/>
          <w:szCs w:val="24"/>
          <w:lang w:val="af-ZA"/>
        </w:rPr>
        <w:t xml:space="preserve">ախագծի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ընդունման</w:t>
      </w:r>
      <w:r w:rsidR="008645ED"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8645ED"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8645ED"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 xml:space="preserve">կառաջանա կատարել փոփոխություններ </w:t>
      </w:r>
      <w:r>
        <w:rPr>
          <w:rFonts w:ascii="GHEA Grapalat" w:hAnsi="GHEA Grapalat"/>
          <w:sz w:val="24"/>
          <w:szCs w:val="24"/>
          <w:lang w:val="hy-AM"/>
        </w:rPr>
        <w:t xml:space="preserve">մի շարք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8645ED" w:rsidRPr="008F4F36">
        <w:rPr>
          <w:rFonts w:ascii="GHEA Grapalat" w:hAnsi="GHEA Grapalat"/>
          <w:sz w:val="24"/>
          <w:szCs w:val="24"/>
          <w:lang w:val="hy-AM"/>
        </w:rPr>
        <w:t xml:space="preserve"> կառավարության որոշումներում՝ սահմանելով նախաբանում լիազորող նորմերը: </w:t>
      </w:r>
    </w:p>
    <w:p w:rsidR="008645ED" w:rsidRPr="008F4F36" w:rsidRDefault="008645ED" w:rsidP="008F4F36">
      <w:pPr>
        <w:spacing w:after="240"/>
        <w:ind w:left="-284" w:right="-472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F4F36">
        <w:rPr>
          <w:rFonts w:ascii="GHEA Grapalat" w:hAnsi="GHEA Grapalat"/>
          <w:b/>
          <w:sz w:val="24"/>
          <w:szCs w:val="24"/>
          <w:lang w:val="hy-AM"/>
        </w:rPr>
        <w:t>7. Պետական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և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8F4F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b/>
          <w:sz w:val="24"/>
          <w:szCs w:val="24"/>
          <w:lang w:val="hy-AM"/>
        </w:rPr>
        <w:t>նվազեցման վերաբերյալ</w:t>
      </w:r>
    </w:p>
    <w:p w:rsidR="008645ED" w:rsidRPr="008F4F36" w:rsidRDefault="008645ED" w:rsidP="008F4F36">
      <w:pPr>
        <w:spacing w:after="240"/>
        <w:ind w:left="-284" w:right="-472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8F4F36">
        <w:rPr>
          <w:rFonts w:ascii="GHEA Grapalat" w:hAnsi="GHEA Grapalat"/>
          <w:sz w:val="24"/>
          <w:szCs w:val="24"/>
          <w:lang w:val="hy-AM"/>
        </w:rPr>
        <w:t>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ախագծի </w:t>
      </w:r>
      <w:r w:rsidRPr="008F4F36">
        <w:rPr>
          <w:rFonts w:ascii="GHEA Grapalat" w:hAnsi="GHEA Grapalat"/>
          <w:sz w:val="24"/>
          <w:szCs w:val="24"/>
          <w:lang w:val="hy-AM"/>
        </w:rPr>
        <w:t>ընդունման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պետական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կամ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տեղական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մարմնի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բյուջեում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եկամուտների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և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ծախսերի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էական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ավելացում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կամ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նվազեցում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չի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hy-AM"/>
        </w:rPr>
        <w:t>նախատեսվում։</w:t>
      </w:r>
      <w:r w:rsidRPr="008F4F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4F36">
        <w:rPr>
          <w:rFonts w:ascii="GHEA Grapalat" w:hAnsi="GHEA Grapalat"/>
          <w:sz w:val="24"/>
          <w:szCs w:val="24"/>
          <w:lang w:val="af-ZA"/>
        </w:rPr>
        <w:tab/>
      </w:r>
    </w:p>
    <w:p w:rsidR="009D3A7A" w:rsidRPr="008F4F36" w:rsidRDefault="009D3A7A" w:rsidP="008F4F36">
      <w:pPr>
        <w:spacing w:after="160"/>
        <w:ind w:left="-284" w:right="-472" w:firstLine="284"/>
        <w:rPr>
          <w:rFonts w:ascii="GHEA Grapalat" w:eastAsia="Times New Roman" w:hAnsi="GHEA Grapalat" w:cs="Sylfaen"/>
          <w:spacing w:val="-2"/>
          <w:sz w:val="24"/>
          <w:szCs w:val="24"/>
          <w:lang w:val="hy-AM"/>
        </w:rPr>
      </w:pPr>
    </w:p>
    <w:sectPr w:rsidR="009D3A7A" w:rsidRPr="008F4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08"/>
    <w:multiLevelType w:val="hybridMultilevel"/>
    <w:tmpl w:val="D41A92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977E3"/>
    <w:multiLevelType w:val="hybridMultilevel"/>
    <w:tmpl w:val="1FA2EC5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A0360A"/>
    <w:multiLevelType w:val="hybridMultilevel"/>
    <w:tmpl w:val="DC3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60A"/>
    <w:multiLevelType w:val="hybridMultilevel"/>
    <w:tmpl w:val="F7C8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17AC"/>
    <w:multiLevelType w:val="hybridMultilevel"/>
    <w:tmpl w:val="A22C18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A86F52"/>
    <w:multiLevelType w:val="hybridMultilevel"/>
    <w:tmpl w:val="D046B880"/>
    <w:lvl w:ilvl="0" w:tplc="67EAF056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BB2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11986"/>
    <w:multiLevelType w:val="hybridMultilevel"/>
    <w:tmpl w:val="909AE25C"/>
    <w:lvl w:ilvl="0" w:tplc="C61CB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5D07BD2"/>
    <w:multiLevelType w:val="hybridMultilevel"/>
    <w:tmpl w:val="0CC41B92"/>
    <w:lvl w:ilvl="0" w:tplc="08090011">
      <w:start w:val="1"/>
      <w:numFmt w:val="decimal"/>
      <w:lvlText w:val="%1)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4B5378D0"/>
    <w:multiLevelType w:val="hybridMultilevel"/>
    <w:tmpl w:val="5114F35A"/>
    <w:lvl w:ilvl="0" w:tplc="A2A085BE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462D2F"/>
    <w:multiLevelType w:val="hybridMultilevel"/>
    <w:tmpl w:val="4A4830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4425F2"/>
    <w:multiLevelType w:val="hybridMultilevel"/>
    <w:tmpl w:val="E1E8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543A74"/>
    <w:multiLevelType w:val="hybridMultilevel"/>
    <w:tmpl w:val="236EA8F0"/>
    <w:lvl w:ilvl="0" w:tplc="D94A6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12BD2"/>
    <w:multiLevelType w:val="hybridMultilevel"/>
    <w:tmpl w:val="8C007C56"/>
    <w:lvl w:ilvl="0" w:tplc="5A70F6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35B63"/>
    <w:multiLevelType w:val="hybridMultilevel"/>
    <w:tmpl w:val="B7E0BD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259FE"/>
    <w:multiLevelType w:val="hybridMultilevel"/>
    <w:tmpl w:val="273C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E6F07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0A11F8"/>
    <w:multiLevelType w:val="hybridMultilevel"/>
    <w:tmpl w:val="09928DF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A3F2262"/>
    <w:multiLevelType w:val="hybridMultilevel"/>
    <w:tmpl w:val="D2B89DCA"/>
    <w:lvl w:ilvl="0" w:tplc="77F688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C06439"/>
    <w:multiLevelType w:val="hybridMultilevel"/>
    <w:tmpl w:val="60E4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42134"/>
    <w:multiLevelType w:val="hybridMultilevel"/>
    <w:tmpl w:val="02828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1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1"/>
  </w:num>
  <w:num w:numId="19">
    <w:abstractNumId w:val="6"/>
  </w:num>
  <w:num w:numId="20">
    <w:abstractNumId w:val="20"/>
  </w:num>
  <w:num w:numId="21">
    <w:abstractNumId w:val="8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0"/>
    <w:rsid w:val="00000A16"/>
    <w:rsid w:val="000054C8"/>
    <w:rsid w:val="00067362"/>
    <w:rsid w:val="000C4C69"/>
    <w:rsid w:val="000C724A"/>
    <w:rsid w:val="000E0284"/>
    <w:rsid w:val="000F2DCC"/>
    <w:rsid w:val="000F658D"/>
    <w:rsid w:val="000F7713"/>
    <w:rsid w:val="00112EC6"/>
    <w:rsid w:val="00120752"/>
    <w:rsid w:val="001221A5"/>
    <w:rsid w:val="00134914"/>
    <w:rsid w:val="001505C7"/>
    <w:rsid w:val="001A4D44"/>
    <w:rsid w:val="001C6ACE"/>
    <w:rsid w:val="001F54CB"/>
    <w:rsid w:val="00210291"/>
    <w:rsid w:val="0024060E"/>
    <w:rsid w:val="002420B1"/>
    <w:rsid w:val="00243D83"/>
    <w:rsid w:val="00245F3A"/>
    <w:rsid w:val="0025046F"/>
    <w:rsid w:val="002646F9"/>
    <w:rsid w:val="0026545F"/>
    <w:rsid w:val="002738A4"/>
    <w:rsid w:val="002B2F87"/>
    <w:rsid w:val="002D7AF3"/>
    <w:rsid w:val="002F3BC8"/>
    <w:rsid w:val="00304C1E"/>
    <w:rsid w:val="003241A9"/>
    <w:rsid w:val="00326ED7"/>
    <w:rsid w:val="00347268"/>
    <w:rsid w:val="003638BE"/>
    <w:rsid w:val="00371463"/>
    <w:rsid w:val="00376867"/>
    <w:rsid w:val="00383681"/>
    <w:rsid w:val="00394E7F"/>
    <w:rsid w:val="003E17DA"/>
    <w:rsid w:val="003E317B"/>
    <w:rsid w:val="003F4DA3"/>
    <w:rsid w:val="00446181"/>
    <w:rsid w:val="00464C3A"/>
    <w:rsid w:val="004740C7"/>
    <w:rsid w:val="004B38A2"/>
    <w:rsid w:val="004E461A"/>
    <w:rsid w:val="005140A1"/>
    <w:rsid w:val="005A5AF8"/>
    <w:rsid w:val="005B0936"/>
    <w:rsid w:val="005B0C57"/>
    <w:rsid w:val="005E3687"/>
    <w:rsid w:val="00611E46"/>
    <w:rsid w:val="006135D5"/>
    <w:rsid w:val="006260CB"/>
    <w:rsid w:val="0066052F"/>
    <w:rsid w:val="00662F32"/>
    <w:rsid w:val="006652BC"/>
    <w:rsid w:val="006A4043"/>
    <w:rsid w:val="006B1DB6"/>
    <w:rsid w:val="006C789F"/>
    <w:rsid w:val="006F6AB0"/>
    <w:rsid w:val="00721884"/>
    <w:rsid w:val="007A2645"/>
    <w:rsid w:val="007A427F"/>
    <w:rsid w:val="007B571D"/>
    <w:rsid w:val="007B61C6"/>
    <w:rsid w:val="007C6B99"/>
    <w:rsid w:val="007D5607"/>
    <w:rsid w:val="007E5F7B"/>
    <w:rsid w:val="0080382D"/>
    <w:rsid w:val="008423B4"/>
    <w:rsid w:val="00843E92"/>
    <w:rsid w:val="008640CA"/>
    <w:rsid w:val="008645ED"/>
    <w:rsid w:val="008820D1"/>
    <w:rsid w:val="00887B60"/>
    <w:rsid w:val="008D1792"/>
    <w:rsid w:val="008F4F36"/>
    <w:rsid w:val="009207C6"/>
    <w:rsid w:val="009443C8"/>
    <w:rsid w:val="00973130"/>
    <w:rsid w:val="00974556"/>
    <w:rsid w:val="009838E4"/>
    <w:rsid w:val="009875EE"/>
    <w:rsid w:val="009B159F"/>
    <w:rsid w:val="009D19ED"/>
    <w:rsid w:val="009D3A7A"/>
    <w:rsid w:val="00A4695B"/>
    <w:rsid w:val="00A5098B"/>
    <w:rsid w:val="00A72112"/>
    <w:rsid w:val="00A742F7"/>
    <w:rsid w:val="00A760E2"/>
    <w:rsid w:val="00A94484"/>
    <w:rsid w:val="00AB145C"/>
    <w:rsid w:val="00AD5A86"/>
    <w:rsid w:val="00AE3D62"/>
    <w:rsid w:val="00B04234"/>
    <w:rsid w:val="00B21BB7"/>
    <w:rsid w:val="00B36403"/>
    <w:rsid w:val="00B573E1"/>
    <w:rsid w:val="00BA5E86"/>
    <w:rsid w:val="00BA6EC3"/>
    <w:rsid w:val="00BC1B99"/>
    <w:rsid w:val="00BC4937"/>
    <w:rsid w:val="00BE3C6B"/>
    <w:rsid w:val="00BE4C1D"/>
    <w:rsid w:val="00BE5E4E"/>
    <w:rsid w:val="00BF4987"/>
    <w:rsid w:val="00C072FA"/>
    <w:rsid w:val="00C228A4"/>
    <w:rsid w:val="00C30690"/>
    <w:rsid w:val="00C44C1E"/>
    <w:rsid w:val="00C768CA"/>
    <w:rsid w:val="00C853DE"/>
    <w:rsid w:val="00C85BAA"/>
    <w:rsid w:val="00CE1E0F"/>
    <w:rsid w:val="00CE624E"/>
    <w:rsid w:val="00CF5400"/>
    <w:rsid w:val="00D03251"/>
    <w:rsid w:val="00D1398A"/>
    <w:rsid w:val="00D168CD"/>
    <w:rsid w:val="00D55956"/>
    <w:rsid w:val="00D61A02"/>
    <w:rsid w:val="00D70915"/>
    <w:rsid w:val="00DA412B"/>
    <w:rsid w:val="00DB38BB"/>
    <w:rsid w:val="00DC0ADC"/>
    <w:rsid w:val="00DD648A"/>
    <w:rsid w:val="00E40216"/>
    <w:rsid w:val="00E45A8D"/>
    <w:rsid w:val="00E474BF"/>
    <w:rsid w:val="00E80FCB"/>
    <w:rsid w:val="00E967C9"/>
    <w:rsid w:val="00EB0204"/>
    <w:rsid w:val="00EB3607"/>
    <w:rsid w:val="00EE4CAF"/>
    <w:rsid w:val="00EF416D"/>
    <w:rsid w:val="00F0758F"/>
    <w:rsid w:val="00F10327"/>
    <w:rsid w:val="00F20934"/>
    <w:rsid w:val="00F31B63"/>
    <w:rsid w:val="00F4743D"/>
    <w:rsid w:val="00F561FB"/>
    <w:rsid w:val="00F776CD"/>
    <w:rsid w:val="00F8074D"/>
    <w:rsid w:val="00F84960"/>
    <w:rsid w:val="00F85AD4"/>
    <w:rsid w:val="00F966FA"/>
    <w:rsid w:val="00FC72F8"/>
    <w:rsid w:val="00FD6A0B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6742-BE22-4330-A558-65050D7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BC8"/>
    <w:rPr>
      <w:b/>
      <w:bCs/>
    </w:rPr>
  </w:style>
  <w:style w:type="paragraph" w:styleId="NormalWeb">
    <w:name w:val="Normal (Web)"/>
    <w:basedOn w:val="Normal"/>
    <w:uiPriority w:val="99"/>
    <w:unhideWhenUsed/>
    <w:rsid w:val="002F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F3BC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F3BC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2F3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4C69"/>
    <w:rPr>
      <w:i/>
      <w:iCs/>
    </w:rPr>
  </w:style>
  <w:style w:type="paragraph" w:customStyle="1" w:styleId="mechtex">
    <w:name w:val="mechtex"/>
    <w:basedOn w:val="Normal"/>
    <w:link w:val="mechtexChar"/>
    <w:rsid w:val="003E17DA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3E17DA"/>
    <w:rPr>
      <w:rFonts w:ascii="Arial Armenian" w:eastAsia="Times New Roman" w:hAnsi="Arial Armenian" w:cs="Times New Roman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21A5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21A5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221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22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221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1"/>
    <w:rPr>
      <w:rFonts w:ascii="Segoe UI" w:eastAsia="Calibri" w:hAnsi="Segoe UI" w:cs="Segoe UI"/>
      <w:sz w:val="18"/>
      <w:szCs w:val="18"/>
      <w:lang w:val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E46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Minasyan</dc:creator>
  <cp:keywords>https:/mul2.gov.am/tasks/316295/oneclick/NAXAGIC_HIMNAVORUM_82.docx?token=5574169e1ecd626b24e9ab41e3bbfe94</cp:keywords>
  <dc:description/>
  <cp:lastModifiedBy>Vera Zurnachyan</cp:lastModifiedBy>
  <cp:revision>2</cp:revision>
  <cp:lastPrinted>2020-08-12T09:08:00Z</cp:lastPrinted>
  <dcterms:created xsi:type="dcterms:W3CDTF">2022-11-17T11:22:00Z</dcterms:created>
  <dcterms:modified xsi:type="dcterms:W3CDTF">2022-11-17T11:22:00Z</dcterms:modified>
</cp:coreProperties>
</file>