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B7" w:rsidRDefault="00942FB7" w:rsidP="00224EAD">
      <w:pPr>
        <w:spacing w:after="0" w:line="360" w:lineRule="auto"/>
        <w:ind w:firstLine="720"/>
        <w:jc w:val="center"/>
        <w:rPr>
          <w:rFonts w:ascii="GHEA Grapalat" w:eastAsia="GHEA Grapalat" w:hAnsi="GHEA Grapalat" w:cs="GHEA Grapalat"/>
          <w:b/>
          <w:sz w:val="24"/>
          <w:szCs w:val="24"/>
          <w:lang w:val="hy-AM"/>
        </w:rPr>
      </w:pPr>
    </w:p>
    <w:p w:rsidR="00415B60" w:rsidRPr="007F090B" w:rsidRDefault="00415B60" w:rsidP="00224EAD">
      <w:pPr>
        <w:spacing w:after="0" w:line="360" w:lineRule="auto"/>
        <w:ind w:firstLine="720"/>
        <w:jc w:val="center"/>
        <w:rPr>
          <w:rFonts w:ascii="GHEA Grapalat" w:eastAsia="GHEA Grapalat" w:hAnsi="GHEA Grapalat" w:cs="GHEA Grapalat"/>
          <w:b/>
          <w:sz w:val="24"/>
          <w:szCs w:val="24"/>
          <w:lang w:val="hy-AM"/>
        </w:rPr>
      </w:pPr>
      <w:r w:rsidRPr="007F090B">
        <w:rPr>
          <w:rFonts w:ascii="GHEA Grapalat" w:eastAsia="GHEA Grapalat" w:hAnsi="GHEA Grapalat" w:cs="GHEA Grapalat"/>
          <w:b/>
          <w:sz w:val="24"/>
          <w:szCs w:val="24"/>
          <w:lang w:val="hy-AM"/>
        </w:rPr>
        <w:t>ՀԻՄՆԱՎՈՐՈՒՄ</w:t>
      </w:r>
    </w:p>
    <w:p w:rsidR="00415B60" w:rsidRPr="007F090B" w:rsidRDefault="00415B60" w:rsidP="00224EAD">
      <w:pPr>
        <w:spacing w:after="0" w:line="360" w:lineRule="auto"/>
        <w:ind w:firstLine="720"/>
        <w:jc w:val="center"/>
        <w:rPr>
          <w:rFonts w:ascii="GHEA Grapalat" w:eastAsia="GHEA Grapalat" w:hAnsi="GHEA Grapalat" w:cs="GHEA Grapalat"/>
          <w:b/>
          <w:sz w:val="24"/>
          <w:szCs w:val="24"/>
          <w:lang w:val="hy-AM"/>
        </w:rPr>
      </w:pPr>
    </w:p>
    <w:p w:rsidR="00415B60" w:rsidRPr="00FD7C87" w:rsidRDefault="00415B60" w:rsidP="00224EAD">
      <w:pPr>
        <w:spacing w:after="0" w:line="360" w:lineRule="auto"/>
        <w:ind w:firstLine="720"/>
        <w:jc w:val="center"/>
        <w:rPr>
          <w:rFonts w:ascii="GHEA Grapalat" w:eastAsia="GHEA Grapalat" w:hAnsi="GHEA Grapalat" w:cs="GHEA Grapalat"/>
          <w:b/>
          <w:sz w:val="24"/>
          <w:szCs w:val="24"/>
          <w:lang w:val="hy-AM"/>
        </w:rPr>
      </w:pPr>
      <w:r w:rsidRPr="00FD7C87">
        <w:rPr>
          <w:rFonts w:ascii="GHEA Grapalat" w:eastAsia="GHEA Grapalat" w:hAnsi="GHEA Grapalat" w:cs="GHEA Grapalat"/>
          <w:b/>
          <w:sz w:val="24"/>
          <w:szCs w:val="24"/>
          <w:lang w:val="hy-AM"/>
        </w:rPr>
        <w:t xml:space="preserve">«ՀԱՅԱՍՏԱՆԻ ՀԱՆՐԱՊԵՏՈՒԹՅԱՆ </w:t>
      </w:r>
      <w:r w:rsidR="00FD7C87" w:rsidRPr="00FD7C87">
        <w:rPr>
          <w:rFonts w:ascii="GHEA Grapalat" w:hAnsi="GHEA Grapalat" w:cs="GHEA Grapalat"/>
          <w:b/>
          <w:bCs/>
          <w:color w:val="000000"/>
          <w:sz w:val="24"/>
          <w:szCs w:val="24"/>
          <w:lang w:val="hy-AM"/>
        </w:rPr>
        <w:t>ՔՐԵԱԿԱՆ</w:t>
      </w:r>
      <w:r w:rsidR="00FD7C87" w:rsidRPr="00FD7C87">
        <w:rPr>
          <w:rFonts w:ascii="Calibri" w:hAnsi="Calibri" w:cs="Calibri"/>
          <w:b/>
          <w:bCs/>
          <w:color w:val="000000"/>
          <w:sz w:val="24"/>
          <w:szCs w:val="24"/>
          <w:lang w:val="hy-AM"/>
        </w:rPr>
        <w:t> </w:t>
      </w:r>
      <w:r w:rsidR="00FD7C87" w:rsidRPr="00FD7C87">
        <w:rPr>
          <w:rFonts w:ascii="GHEA Grapalat" w:hAnsi="GHEA Grapalat" w:cs="GHEA Grapalat"/>
          <w:b/>
          <w:bCs/>
          <w:color w:val="000000"/>
          <w:sz w:val="24"/>
          <w:szCs w:val="24"/>
          <w:lang w:val="hy-AM"/>
        </w:rPr>
        <w:t>ԴԱՏԱՎԱՐՈՒԹՅԱՆ</w:t>
      </w:r>
      <w:r w:rsidR="00FD7C87" w:rsidRPr="00FD7C87">
        <w:rPr>
          <w:rFonts w:ascii="Calibri" w:hAnsi="Calibri" w:cs="Calibri"/>
          <w:b/>
          <w:bCs/>
          <w:color w:val="000000"/>
          <w:sz w:val="24"/>
          <w:szCs w:val="24"/>
          <w:lang w:val="hy-AM"/>
        </w:rPr>
        <w:t> </w:t>
      </w:r>
      <w:r w:rsidR="00FD7C87" w:rsidRPr="00FD7C87">
        <w:rPr>
          <w:rFonts w:ascii="GHEA Grapalat" w:hAnsi="GHEA Grapalat" w:cs="GHEA Grapalat"/>
          <w:b/>
          <w:bCs/>
          <w:color w:val="000000"/>
          <w:sz w:val="24"/>
          <w:szCs w:val="24"/>
          <w:lang w:val="hy-AM"/>
        </w:rPr>
        <w:t>ՕՐԵՆՍԳՐՔՈՒՄ</w:t>
      </w:r>
      <w:r w:rsidR="00FD7C87" w:rsidRPr="00FD7C87">
        <w:rPr>
          <w:rFonts w:ascii="Calibri" w:hAnsi="Calibri" w:cs="Calibri"/>
          <w:b/>
          <w:bCs/>
          <w:color w:val="000000"/>
          <w:sz w:val="24"/>
          <w:szCs w:val="24"/>
          <w:lang w:val="hy-AM"/>
        </w:rPr>
        <w:t> </w:t>
      </w:r>
      <w:r w:rsidR="00FD7C87" w:rsidRPr="00FD7C87">
        <w:rPr>
          <w:rFonts w:ascii="GHEA Grapalat" w:hAnsi="GHEA Grapalat"/>
          <w:b/>
          <w:sz w:val="24"/>
          <w:szCs w:val="24"/>
          <w:lang w:val="hy-AM"/>
        </w:rPr>
        <w:t xml:space="preserve">ՓՈՓՈԽՈՒԹՅՈՒՆ </w:t>
      </w:r>
      <w:r w:rsidRPr="00FD7C87">
        <w:rPr>
          <w:rFonts w:ascii="GHEA Grapalat" w:eastAsia="GHEA Grapalat" w:hAnsi="GHEA Grapalat" w:cs="GHEA Grapalat"/>
          <w:b/>
          <w:sz w:val="24"/>
          <w:szCs w:val="24"/>
          <w:lang w:val="hy-AM"/>
        </w:rPr>
        <w:t>ԿԱՏԱՐԵԼՈՒ</w:t>
      </w:r>
      <w:r w:rsidR="00C6559E" w:rsidRPr="00FD7C87">
        <w:rPr>
          <w:rFonts w:ascii="GHEA Grapalat" w:eastAsia="GHEA Grapalat" w:hAnsi="GHEA Grapalat" w:cs="GHEA Grapalat"/>
          <w:b/>
          <w:sz w:val="24"/>
          <w:szCs w:val="24"/>
          <w:lang w:val="hy-AM"/>
        </w:rPr>
        <w:t xml:space="preserve"> </w:t>
      </w:r>
      <w:r w:rsidRPr="00FD7C87">
        <w:rPr>
          <w:rFonts w:ascii="GHEA Grapalat" w:eastAsia="GHEA Grapalat" w:hAnsi="GHEA Grapalat" w:cs="GHEA Grapalat"/>
          <w:b/>
          <w:sz w:val="24"/>
          <w:szCs w:val="24"/>
          <w:lang w:val="hy-AM"/>
        </w:rPr>
        <w:t>ՄԱՍԻՆ»</w:t>
      </w:r>
      <w:r w:rsidR="00C6559E" w:rsidRPr="00FD7C87">
        <w:rPr>
          <w:rFonts w:ascii="GHEA Grapalat" w:eastAsia="GHEA Grapalat" w:hAnsi="GHEA Grapalat" w:cs="GHEA Grapalat"/>
          <w:b/>
          <w:sz w:val="24"/>
          <w:szCs w:val="24"/>
          <w:lang w:val="hy-AM"/>
        </w:rPr>
        <w:t xml:space="preserve"> </w:t>
      </w:r>
      <w:r w:rsidRPr="00FD7C87">
        <w:rPr>
          <w:rFonts w:ascii="GHEA Grapalat" w:eastAsia="GHEA Grapalat" w:hAnsi="GHEA Grapalat" w:cs="GHEA Grapalat"/>
          <w:b/>
          <w:sz w:val="24"/>
          <w:szCs w:val="24"/>
          <w:lang w:val="hy-AM"/>
        </w:rPr>
        <w:t>ՕՐԵՆՔԻ ՆԱԽԱԳԾԻ</w:t>
      </w:r>
    </w:p>
    <w:p w:rsidR="00415B60" w:rsidRPr="007F090B" w:rsidRDefault="00415B60" w:rsidP="00224EAD">
      <w:pPr>
        <w:spacing w:after="0" w:line="360" w:lineRule="auto"/>
        <w:ind w:firstLine="720"/>
        <w:jc w:val="both"/>
        <w:rPr>
          <w:rFonts w:ascii="GHEA Grapalat" w:eastAsia="GHEA Grapalat" w:hAnsi="GHEA Grapalat" w:cs="GHEA Grapalat"/>
          <w:sz w:val="24"/>
          <w:szCs w:val="24"/>
          <w:lang w:val="hy-AM"/>
        </w:rPr>
      </w:pPr>
    </w:p>
    <w:p w:rsidR="00415B60" w:rsidRPr="007F090B" w:rsidRDefault="00415B60" w:rsidP="00224EAD">
      <w:pPr>
        <w:spacing w:after="0" w:line="360" w:lineRule="auto"/>
        <w:ind w:firstLine="720"/>
        <w:jc w:val="both"/>
        <w:rPr>
          <w:rFonts w:ascii="GHEA Grapalat" w:eastAsia="GHEA Grapalat" w:hAnsi="GHEA Grapalat" w:cs="GHEA Grapalat"/>
          <w:b/>
          <w:sz w:val="24"/>
          <w:szCs w:val="24"/>
          <w:lang w:val="hy-AM"/>
        </w:rPr>
      </w:pPr>
      <w:r w:rsidRPr="007F090B">
        <w:rPr>
          <w:rFonts w:ascii="GHEA Grapalat" w:eastAsia="GHEA Grapalat" w:hAnsi="GHEA Grapalat" w:cs="GHEA Grapalat"/>
          <w:b/>
          <w:sz w:val="24"/>
          <w:szCs w:val="24"/>
          <w:lang w:val="hy-AM"/>
        </w:rPr>
        <w:t>1. Իրավական ակտերի ընդունման անհրաժեշտությունը.</w:t>
      </w:r>
    </w:p>
    <w:p w:rsidR="00415B60" w:rsidRPr="007F090B" w:rsidRDefault="00A27011"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 xml:space="preserve">«Հայաստանի Հանրապետության քրեական դատավարության օրենսգրքում </w:t>
      </w:r>
      <w:r w:rsidR="00FD7C87" w:rsidRPr="00FD7C87">
        <w:rPr>
          <w:rFonts w:ascii="GHEA Grapalat" w:eastAsia="GHEA Grapalat" w:hAnsi="GHEA Grapalat" w:cs="GHEA Grapalat"/>
          <w:sz w:val="24"/>
          <w:szCs w:val="24"/>
          <w:lang w:val="hy-AM"/>
        </w:rPr>
        <w:t xml:space="preserve">փոփոխություն </w:t>
      </w:r>
      <w:r w:rsidRPr="007F090B">
        <w:rPr>
          <w:rFonts w:ascii="GHEA Grapalat" w:eastAsia="GHEA Grapalat" w:hAnsi="GHEA Grapalat" w:cs="GHEA Grapalat"/>
          <w:sz w:val="24"/>
          <w:szCs w:val="24"/>
          <w:lang w:val="hy-AM"/>
        </w:rPr>
        <w:t>կատարելու մասին» օրենքի նախագծի (այսուհետ նաև՝ Նախագիծ) ընդունումը պայման</w:t>
      </w:r>
      <w:r w:rsidR="009030D2">
        <w:rPr>
          <w:rFonts w:ascii="GHEA Grapalat" w:eastAsia="GHEA Grapalat" w:hAnsi="GHEA Grapalat" w:cs="GHEA Grapalat"/>
          <w:sz w:val="24"/>
          <w:szCs w:val="24"/>
          <w:lang w:val="hy-AM"/>
        </w:rPr>
        <w:t>ա</w:t>
      </w:r>
      <w:r w:rsidRPr="007F090B">
        <w:rPr>
          <w:rFonts w:ascii="GHEA Grapalat" w:eastAsia="GHEA Grapalat" w:hAnsi="GHEA Grapalat" w:cs="GHEA Grapalat"/>
          <w:sz w:val="24"/>
          <w:szCs w:val="24"/>
          <w:lang w:val="hy-AM"/>
        </w:rPr>
        <w:t xml:space="preserve">վորված է </w:t>
      </w:r>
      <w:r w:rsidR="00415B60" w:rsidRPr="007F090B">
        <w:rPr>
          <w:rFonts w:ascii="GHEA Grapalat" w:eastAsia="GHEA Grapalat" w:hAnsi="GHEA Grapalat" w:cs="GHEA Grapalat"/>
          <w:sz w:val="24"/>
          <w:szCs w:val="24"/>
          <w:lang w:val="hy-AM"/>
        </w:rPr>
        <w:t xml:space="preserve">Հակակոռուպցիոն կոմիտեում </w:t>
      </w:r>
      <w:r w:rsidRPr="007F090B">
        <w:rPr>
          <w:rFonts w:ascii="GHEA Grapalat" w:eastAsia="GHEA Grapalat" w:hAnsi="GHEA Grapalat" w:cs="GHEA Grapalat"/>
          <w:sz w:val="24"/>
          <w:szCs w:val="24"/>
          <w:lang w:val="hy-AM"/>
        </w:rPr>
        <w:t xml:space="preserve">(այսուհետ նաև՝ Կոմիտե) </w:t>
      </w:r>
      <w:r w:rsidR="00415B60" w:rsidRPr="007F090B">
        <w:rPr>
          <w:rFonts w:ascii="GHEA Grapalat" w:eastAsia="GHEA Grapalat" w:hAnsi="GHEA Grapalat" w:cs="GHEA Grapalat"/>
          <w:sz w:val="24"/>
          <w:szCs w:val="24"/>
          <w:lang w:val="hy-AM"/>
        </w:rPr>
        <w:t>առկա գործերի ծանրաբեռնվածությունը թեթևացնելու, այն կառավարելի դարձնելու միջոցով կոռուպցիոն ենթադրյալ հանցանքների նախաքննությունը պատշաճ և որակյալ իրականացնելու հրամայականով</w:t>
      </w:r>
      <w:r w:rsidRPr="007F090B">
        <w:rPr>
          <w:rFonts w:ascii="GHEA Grapalat" w:eastAsia="GHEA Grapalat" w:hAnsi="GHEA Grapalat" w:cs="GHEA Grapalat"/>
          <w:sz w:val="24"/>
          <w:szCs w:val="24"/>
          <w:lang w:val="hy-AM"/>
        </w:rPr>
        <w:t xml:space="preserve">: </w:t>
      </w:r>
    </w:p>
    <w:p w:rsidR="00415B60" w:rsidRPr="007F090B" w:rsidRDefault="00415B60" w:rsidP="00224EAD">
      <w:pPr>
        <w:spacing w:after="0" w:line="360" w:lineRule="auto"/>
        <w:ind w:firstLine="720"/>
        <w:jc w:val="both"/>
        <w:rPr>
          <w:rFonts w:ascii="GHEA Grapalat" w:eastAsia="GHEA Grapalat" w:hAnsi="GHEA Grapalat" w:cs="GHEA Grapalat"/>
          <w:b/>
          <w:sz w:val="24"/>
          <w:szCs w:val="24"/>
          <w:lang w:val="hy-AM"/>
        </w:rPr>
      </w:pPr>
    </w:p>
    <w:p w:rsidR="00415B60" w:rsidRPr="007F090B" w:rsidRDefault="00415B60"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b/>
          <w:sz w:val="24"/>
          <w:szCs w:val="24"/>
          <w:lang w:val="hy-AM"/>
        </w:rPr>
        <w:t>2. 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ռազմավարության և դրա իրականացման 2019-2022 թվականների միջոցառումների ծրագիր</w:t>
      </w:r>
      <w:r w:rsidRPr="007F090B">
        <w:rPr>
          <w:rFonts w:ascii="GHEA Grapalat" w:eastAsia="GHEA Grapalat" w:hAnsi="GHEA Grapalat" w:cs="GHEA Grapalat"/>
          <w:sz w:val="24"/>
          <w:szCs w:val="24"/>
          <w:lang w:val="hy-AM"/>
        </w:rPr>
        <w:t>.</w:t>
      </w:r>
    </w:p>
    <w:p w:rsidR="00764E8B" w:rsidRPr="007F090B" w:rsidRDefault="00764E8B" w:rsidP="00764E8B">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 xml:space="preserve">«Հայաստանի Հանրապետության քրեական դատավարության օրենսգրքում </w:t>
      </w:r>
      <w:r w:rsidR="00FD7C87" w:rsidRPr="00FD7C87">
        <w:rPr>
          <w:rFonts w:ascii="GHEA Grapalat" w:eastAsia="GHEA Grapalat" w:hAnsi="GHEA Grapalat" w:cs="GHEA Grapalat"/>
          <w:sz w:val="24"/>
          <w:szCs w:val="24"/>
          <w:lang w:val="hy-AM"/>
        </w:rPr>
        <w:t xml:space="preserve">փոփոխություն </w:t>
      </w:r>
      <w:r w:rsidRPr="007F090B">
        <w:rPr>
          <w:rFonts w:ascii="GHEA Grapalat" w:eastAsia="GHEA Grapalat" w:hAnsi="GHEA Grapalat" w:cs="GHEA Grapalat"/>
          <w:sz w:val="24"/>
          <w:szCs w:val="24"/>
          <w:lang w:val="hy-AM"/>
        </w:rPr>
        <w:t>կատարելու մասին» օրենքի նախագծի</w:t>
      </w:r>
      <w:r w:rsidR="00415B60" w:rsidRPr="007F090B">
        <w:rPr>
          <w:rFonts w:ascii="GHEA Grapalat" w:eastAsia="GHEA Grapalat" w:hAnsi="GHEA Grapalat" w:cs="GHEA Grapalat"/>
          <w:sz w:val="24"/>
          <w:szCs w:val="24"/>
          <w:lang w:val="hy-AM"/>
        </w:rPr>
        <w:t xml:space="preserve"> ընդունումը </w:t>
      </w:r>
      <w:r w:rsidRPr="007F090B">
        <w:rPr>
          <w:rFonts w:ascii="GHEA Grapalat" w:hAnsi="GHEA Grapalat"/>
          <w:sz w:val="24"/>
          <w:szCs w:val="24"/>
          <w:lang w:val="hy-AM"/>
        </w:rPr>
        <w:t>չի</w:t>
      </w:r>
      <w:r w:rsidRPr="007F090B">
        <w:rPr>
          <w:rFonts w:ascii="GHEA Grapalat" w:hAnsi="GHEA Grapalat"/>
          <w:sz w:val="24"/>
          <w:szCs w:val="24"/>
          <w:lang w:val="es-ES_tradnl"/>
        </w:rPr>
        <w:t xml:space="preserve"> </w:t>
      </w:r>
      <w:r w:rsidRPr="007F090B">
        <w:rPr>
          <w:rFonts w:ascii="GHEA Grapalat" w:hAnsi="GHEA Grapalat"/>
          <w:sz w:val="24"/>
          <w:szCs w:val="24"/>
          <w:lang w:val="hy-AM"/>
        </w:rPr>
        <w:t>բխում</w:t>
      </w:r>
      <w:r w:rsidRPr="007F090B">
        <w:rPr>
          <w:rFonts w:ascii="GHEA Grapalat" w:hAnsi="GHEA Grapalat"/>
          <w:sz w:val="24"/>
          <w:szCs w:val="24"/>
          <w:lang w:val="es-ES_tradnl"/>
        </w:rPr>
        <w:t xml:space="preserve"> </w:t>
      </w:r>
      <w:r w:rsidRPr="007F090B">
        <w:rPr>
          <w:rFonts w:ascii="GHEA Grapalat" w:hAnsi="GHEA Grapalat"/>
          <w:sz w:val="24"/>
          <w:szCs w:val="24"/>
          <w:lang w:val="hy-AM"/>
        </w:rPr>
        <w:t>համապատասխան</w:t>
      </w:r>
      <w:r w:rsidRPr="007F090B">
        <w:rPr>
          <w:rFonts w:ascii="GHEA Grapalat" w:hAnsi="GHEA Grapalat"/>
          <w:sz w:val="24"/>
          <w:szCs w:val="24"/>
          <w:lang w:val="es-ES_tradnl"/>
        </w:rPr>
        <w:t xml:space="preserve"> </w:t>
      </w:r>
      <w:r w:rsidRPr="007F090B">
        <w:rPr>
          <w:rFonts w:ascii="GHEA Grapalat" w:hAnsi="GHEA Grapalat"/>
          <w:sz w:val="24"/>
          <w:szCs w:val="24"/>
          <w:lang w:val="hy-AM"/>
        </w:rPr>
        <w:t>ռազմավարական</w:t>
      </w:r>
      <w:r w:rsidRPr="007F090B">
        <w:rPr>
          <w:rFonts w:ascii="GHEA Grapalat" w:hAnsi="GHEA Grapalat"/>
          <w:sz w:val="24"/>
          <w:szCs w:val="24"/>
          <w:lang w:val="es-ES_tradnl"/>
        </w:rPr>
        <w:t xml:space="preserve"> </w:t>
      </w:r>
      <w:r w:rsidRPr="007F090B">
        <w:rPr>
          <w:rFonts w:ascii="GHEA Grapalat" w:hAnsi="GHEA Grapalat"/>
          <w:sz w:val="24"/>
          <w:szCs w:val="24"/>
          <w:lang w:val="hy-AM"/>
        </w:rPr>
        <w:t>փաստաթղթերից։</w:t>
      </w:r>
    </w:p>
    <w:p w:rsidR="00764E8B" w:rsidRPr="007F090B" w:rsidRDefault="00764E8B" w:rsidP="00764E8B">
      <w:pPr>
        <w:spacing w:after="0" w:line="360" w:lineRule="auto"/>
        <w:ind w:firstLine="720"/>
        <w:jc w:val="both"/>
        <w:rPr>
          <w:rFonts w:ascii="GHEA Grapalat" w:eastAsia="GHEA Grapalat" w:hAnsi="GHEA Grapalat" w:cs="GHEA Grapalat"/>
          <w:sz w:val="24"/>
          <w:szCs w:val="24"/>
          <w:lang w:val="es-ES_tradnl"/>
        </w:rPr>
      </w:pPr>
    </w:p>
    <w:p w:rsidR="00415B60" w:rsidRPr="007F090B" w:rsidRDefault="00415B60" w:rsidP="00224EAD">
      <w:pPr>
        <w:spacing w:after="0" w:line="360" w:lineRule="auto"/>
        <w:ind w:firstLine="720"/>
        <w:jc w:val="both"/>
        <w:rPr>
          <w:rFonts w:ascii="GHEA Grapalat" w:eastAsia="GHEA Grapalat" w:hAnsi="GHEA Grapalat" w:cs="GHEA Grapalat"/>
          <w:b/>
          <w:sz w:val="24"/>
          <w:szCs w:val="24"/>
          <w:lang w:val="hy-AM"/>
        </w:rPr>
      </w:pPr>
      <w:r w:rsidRPr="007F090B">
        <w:rPr>
          <w:rFonts w:ascii="GHEA Grapalat" w:eastAsia="GHEA Grapalat" w:hAnsi="GHEA Grapalat" w:cs="GHEA Grapalat"/>
          <w:b/>
          <w:sz w:val="24"/>
          <w:szCs w:val="24"/>
          <w:lang w:val="hy-AM"/>
        </w:rPr>
        <w:t>3. Ընթացիկ իրավիճակը և խնդիրները.</w:t>
      </w:r>
    </w:p>
    <w:p w:rsidR="00415B60" w:rsidRPr="007F090B" w:rsidRDefault="00415B60"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Հայաստանի Հանրապետության Ազգային ժողովի կողմից 2021 թվականի մարտի 24-ին ընդունվել է «Հակակոռուպցիոն կոմիտեի մասին» Հայաստանի Հանրապետության օրենքը (այսուհետ նաև՝ Օրենք):</w:t>
      </w:r>
    </w:p>
    <w:p w:rsidR="00415B60" w:rsidRPr="007F090B" w:rsidRDefault="00415B60"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Օրենքի 48-րդ հոդվածի համաձայն.</w:t>
      </w:r>
    </w:p>
    <w:p w:rsidR="00415B60" w:rsidRPr="007F090B" w:rsidRDefault="00415B60" w:rsidP="00A27011">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 xml:space="preserve">«12. Հակակոռուպցիոն կոմիտեի նախագահը սույն հոդվածի 11-րդ մասով սահմանված ակտերի հաստատումից հետո՝ եռօրյա ժամկետում, հատուկ քննչական </w:t>
      </w:r>
      <w:r w:rsidRPr="007F090B">
        <w:rPr>
          <w:rFonts w:ascii="GHEA Grapalat" w:eastAsia="GHEA Grapalat" w:hAnsi="GHEA Grapalat" w:cs="GHEA Grapalat"/>
          <w:i/>
          <w:sz w:val="24"/>
          <w:szCs w:val="24"/>
          <w:lang w:val="hy-AM"/>
        </w:rPr>
        <w:lastRenderedPageBreak/>
        <w:t xml:space="preserve">ծառայության ինքնավար պաշտոն զբաղեցնող անձանց հակակոռուպցիոն կոմիտեում 30 ինքնավար թափուր պաշտոնները </w:t>
      </w:r>
      <w:r w:rsidR="00A27011" w:rsidRPr="007F090B">
        <w:rPr>
          <w:rFonts w:ascii="GHEA Grapalat" w:eastAsia="GHEA Grapalat" w:hAnsi="GHEA Grapalat" w:cs="GHEA Grapalat"/>
          <w:i/>
          <w:sz w:val="24"/>
          <w:szCs w:val="24"/>
          <w:lang w:val="hy-AM"/>
        </w:rPr>
        <w:t xml:space="preserve"> </w:t>
      </w:r>
      <w:r w:rsidRPr="007F090B">
        <w:rPr>
          <w:rFonts w:ascii="GHEA Grapalat" w:eastAsia="GHEA Grapalat" w:hAnsi="GHEA Grapalat" w:cs="GHEA Grapalat"/>
          <w:i/>
          <w:sz w:val="24"/>
          <w:szCs w:val="24"/>
          <w:lang w:val="hy-AM"/>
        </w:rPr>
        <w:t>ժամանակավոր զբաղեցնելու առաջարկություն է ներկայացնում: Սույն մասով նախատեսված անձինք ներկայացված առաջարկությանն իրենց համաձայնությունը կամ անհամաձայնությունը ներկայացնում են առաջարկությունն ստանալու պահից՝ եռօրյա ժամկետում: Այն դեպքում, երբ համաձայնություն ներկայացրած անձանց թիվը գերազանցում է 30-ը, ժամանակավոր պաշտոնի նշանակվելու նախապատվությունը տրվում է հատուկ քննչական ծառայության կոռուպցիոն հանցագործություններով նախաքննություն իրականացնող անձանց, իսկ եթե նրանց թիվը ևս գերազանցում է 30-ը՝ ավելի երկար փորձառություն ունեցող անձին, իսկ հավասար փորձառության դեպքում՝ տարիքով ավագին: Սույն մասով նախատեսված անձինք նշանակվում են հակակոռուպցիոն կոմիտեի համարժեք (բացառությամբ դրա անհնարինության դեպքի) պաշտոնների որպես պաշտոնակատար՝ պահպանելով հատուկ քննչական ծառայությունում չօգտագործված ամենամյա արձակուրդի համար դրամական հատուցում ստանալու իրավունքը:</w:t>
      </w:r>
    </w:p>
    <w:p w:rsidR="00415B60" w:rsidRPr="007F090B" w:rsidRDefault="00415B60" w:rsidP="00224EAD">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w:t>
      </w:r>
    </w:p>
    <w:p w:rsidR="00415B60" w:rsidRPr="007F090B" w:rsidRDefault="00415B60" w:rsidP="00224EAD">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22. Սույն օրենքն ուժի մեջ մտնելուց հետո՝ օրենքով սահմանված կոռուպցիոն ենթադրյալ հանցագործություններով քրեական գործերի հարուցման հարցի լուծումը և նախաքննության իրականացումը վերապահվում է հակակոռուպցիոն կոմիտեին։ Այլ քննչական մարմիններում գտնվող քրեական գործերը (նյութերը) ենթակա չեն փոխանցման հակակոռուպցիոն կոմիտե, բացառությամբ սույն հոդվածով սահմանված դեպքերի:</w:t>
      </w:r>
    </w:p>
    <w:p w:rsidR="00415B60" w:rsidRPr="007F090B" w:rsidRDefault="00415B60" w:rsidP="00224EAD">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23. Սույն հոդվածի 12-րդ մասով նախատեսված անձանց նշանակումից հետո հատուկ քննչական ծառայությունում գտնվող կոռուպցիոն ենթադրյալ հանցագործություններով հարուցված քրեական գործերը (նյութերը), ինչպես նաև կոռուպցիոն ենթադրյալ հանցագործություններով քրեական գործի հարուցման փուլում գտնվող գործերը փոխանցվում են հակակոռուպցիոն կոմիտե:</w:t>
      </w:r>
    </w:p>
    <w:p w:rsidR="00415B60" w:rsidRPr="007F090B" w:rsidRDefault="00415B60" w:rsidP="00224EAD">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 xml:space="preserve">24. Մինչև սույն օրենքն ուժի մեջ մտնելը այլ քննչական մարմիններում գտնվող կոռուպցիոն ենթադրյալ հանցագործություններով քրեական գործերը (նյութերը) Հայաստանի Հանրապետության գլխավոր դատախազը կարող է այդ </w:t>
      </w:r>
      <w:r w:rsidRPr="007F090B">
        <w:rPr>
          <w:rFonts w:ascii="GHEA Grapalat" w:eastAsia="GHEA Grapalat" w:hAnsi="GHEA Grapalat" w:cs="GHEA Grapalat"/>
          <w:i/>
          <w:sz w:val="24"/>
          <w:szCs w:val="24"/>
          <w:lang w:val="hy-AM"/>
        </w:rPr>
        <w:lastRenderedPageBreak/>
        <w:t>մարմինների քննիչների վարույթից վերցնել և հակակոռուպցիոն կոմիտեի նախագահի համաձայնությամբ հանձնել հակակոռուպցիոն կոմիտեի քննիչների վարույթին»:</w:t>
      </w:r>
    </w:p>
    <w:p w:rsidR="0055343C" w:rsidRPr="007F090B" w:rsidRDefault="0055343C"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hAnsi="GHEA Grapalat"/>
          <w:color w:val="000000"/>
          <w:sz w:val="24"/>
          <w:szCs w:val="24"/>
          <w:lang w:val="hy-AM"/>
        </w:rPr>
        <w:t xml:space="preserve">2021 թվականի հունիսի 30-ի Հայաստանի Հանրապետության քրեական դատավարության օրենսգրքի (այսուհետ՝ Նոր օրենսգիրք) 483-րդ հոդվածի համաձայն՝ </w:t>
      </w:r>
      <w:r w:rsidRPr="007F090B">
        <w:rPr>
          <w:rFonts w:ascii="GHEA Grapalat" w:eastAsia="GHEA Grapalat" w:hAnsi="GHEA Grapalat" w:cs="GHEA Grapalat"/>
          <w:i/>
          <w:sz w:val="24"/>
          <w:szCs w:val="24"/>
          <w:lang w:val="hy-AM"/>
        </w:rPr>
        <w:t>16. Մինչև 2023 թվականի հունվարի 1-ը գործում են քննչական ենթակայության հետևյալ կանոնները.</w:t>
      </w:r>
    </w:p>
    <w:p w:rsidR="0055343C" w:rsidRDefault="0055343C"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1) նախաքննությունը Հայաստանի Հանրապետության քրեական օրենսգրքի հավելված N 1-ով նախատեսված կոռուպցիոն հանցանքների վերաբերյալ վարույթներով կատարում են հակակոռուպցիոն կոմիտեի քննիչները, եթե հանցանքները կատարվել են Հայաստանի Հանրապետության քրեական օրենսգրքի 3-րդ հոդվածի 1-ին մասի 20-րդ կետի «ա</w:t>
      </w:r>
      <w:r w:rsidR="00D02A3D">
        <w:rPr>
          <w:rFonts w:ascii="GHEA Grapalat" w:eastAsia="GHEA Grapalat" w:hAnsi="GHEA Grapalat" w:cs="GHEA Grapalat"/>
          <w:i/>
          <w:sz w:val="24"/>
          <w:szCs w:val="24"/>
          <w:lang w:val="hy-AM"/>
        </w:rPr>
        <w:t></w:t>
      </w:r>
      <w:r w:rsidRPr="007F090B">
        <w:rPr>
          <w:rFonts w:ascii="GHEA Grapalat" w:eastAsia="GHEA Grapalat" w:hAnsi="GHEA Grapalat" w:cs="GHEA Grapalat"/>
          <w:i/>
          <w:sz w:val="24"/>
          <w:szCs w:val="24"/>
          <w:lang w:val="hy-AM"/>
        </w:rPr>
        <w:t xml:space="preserve"> ենթակետով սահմանված հանրային պաշտոն զբաղեցնող անձանց, պետական, պետական կառավարման համակարգի, տեղական ինքնակառավարման մարմնի, պետության կամ համայնքի կողմից ստեղծված ոչ առևտրային կազմակերպության կամ հիմնարկի անունից հանդես գալու լիազորություն ունեցող կամ դրանց անունից իրավունք, պարտականություն կամ պատասխանատվություն առաջացնող գործառույթներ իրականացնող, ինչպես նաև «բ-զ</w:t>
      </w:r>
      <w:r w:rsidR="00D02A3D">
        <w:rPr>
          <w:rFonts w:ascii="GHEA Grapalat" w:eastAsia="GHEA Grapalat" w:hAnsi="GHEA Grapalat" w:cs="GHEA Grapalat"/>
          <w:i/>
          <w:sz w:val="24"/>
          <w:szCs w:val="24"/>
          <w:lang w:val="hy-AM"/>
        </w:rPr>
        <w:t></w:t>
      </w:r>
      <w:r w:rsidRPr="007F090B">
        <w:rPr>
          <w:rFonts w:ascii="GHEA Grapalat" w:eastAsia="GHEA Grapalat" w:hAnsi="GHEA Grapalat" w:cs="GHEA Grapalat"/>
          <w:i/>
          <w:sz w:val="24"/>
          <w:szCs w:val="24"/>
          <w:lang w:val="hy-AM"/>
        </w:rPr>
        <w:t xml:space="preserve"> ենթակետերում նշված պաշտոնատար անձանց կողմից՝ իրենց պաշտոնեական դիրքի հետ կապված, բացառությամբ Հայաստանի Հանրապետության քրեական օրենսգրքի 272-277-րդ հոդվածներով նախատեսված հանցանքների վերաբերյալ վարույթների, որոնցով նախաքննությունը կատարում են քննչական կոմիտեի քննիչները.</w:t>
      </w:r>
    </w:p>
    <w:p w:rsidR="0055343C" w:rsidRPr="007F090B" w:rsidRDefault="00C53D8B" w:rsidP="00C53D8B">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w:t>
      </w:r>
    </w:p>
    <w:p w:rsidR="0055343C" w:rsidRPr="007F090B" w:rsidRDefault="0055343C"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3) Հայաստանի Հանրապետության քրեական օրենսգրքի 218-221-րդ, 231-րդ, 232-րդ, 435-439-րդ, 442-445-րդ, 480-482-րդ հոդվածներով նախատեսված հանցանքների վերաբերյալ վարույթներով նախաքննությունը կատարում են բացառապես հակակոռուպցիոն կոմիտեի քննիչները.</w:t>
      </w:r>
    </w:p>
    <w:p w:rsidR="0055343C" w:rsidRPr="007F090B" w:rsidRDefault="0055343C"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w:t>
      </w:r>
    </w:p>
    <w:p w:rsidR="0055343C" w:rsidRPr="007F090B" w:rsidRDefault="0055343C"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17. 2023 թվականի հունվարի 1-ից մինչև 2024 թվականի հունվարի 1-ը գործում են քննչական ենթակայության հետևյալ կանոնները.</w:t>
      </w:r>
    </w:p>
    <w:p w:rsidR="0055343C" w:rsidRPr="007F090B" w:rsidRDefault="0055343C"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lastRenderedPageBreak/>
        <w:t>1) նախաքննությունը Հայաստանի Հանրապետության քրեական օրենսգրքի հավելված N 1-ով նախատեսված կոռուպցիոն հանցանքների վերաբերյալ վարույթներով կատարում են հակակոռուպցիոն կոմիտեի քննիչները.</w:t>
      </w:r>
    </w:p>
    <w:p w:rsidR="0055343C" w:rsidRPr="007F090B" w:rsidRDefault="0055343C"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i/>
          <w:sz w:val="24"/>
          <w:szCs w:val="24"/>
          <w:lang w:val="hy-AM"/>
        </w:rPr>
        <w:t>(…):</w:t>
      </w:r>
    </w:p>
    <w:p w:rsidR="00B93050" w:rsidRPr="007F090B" w:rsidRDefault="00415B60" w:rsidP="0055343C">
      <w:pPr>
        <w:spacing w:after="0" w:line="360" w:lineRule="auto"/>
        <w:ind w:firstLine="720"/>
        <w:jc w:val="both"/>
        <w:rPr>
          <w:rFonts w:ascii="GHEA Grapalat" w:eastAsia="GHEA Grapalat" w:hAnsi="GHEA Grapalat" w:cs="GHEA Grapalat"/>
          <w:i/>
          <w:sz w:val="24"/>
          <w:szCs w:val="24"/>
          <w:lang w:val="hy-AM"/>
        </w:rPr>
      </w:pPr>
      <w:r w:rsidRPr="007F090B">
        <w:rPr>
          <w:rFonts w:ascii="GHEA Grapalat" w:eastAsia="GHEA Grapalat" w:hAnsi="GHEA Grapalat" w:cs="GHEA Grapalat"/>
          <w:sz w:val="24"/>
          <w:szCs w:val="24"/>
          <w:lang w:val="hy-AM"/>
        </w:rPr>
        <w:t>2021 թվականի հոկտեմբերի 23-ից Հայաստանի Հանրապետության ողջ տարածքում կոռուպցիոն ենթադրյալ հանցա</w:t>
      </w:r>
      <w:r w:rsidR="004943E6" w:rsidRPr="007F090B">
        <w:rPr>
          <w:rFonts w:ascii="GHEA Grapalat" w:eastAsia="GHEA Grapalat" w:hAnsi="GHEA Grapalat" w:cs="GHEA Grapalat"/>
          <w:sz w:val="24"/>
          <w:szCs w:val="24"/>
          <w:lang w:val="hy-AM"/>
        </w:rPr>
        <w:t>նքներով</w:t>
      </w:r>
      <w:r w:rsidRPr="007F090B">
        <w:rPr>
          <w:rFonts w:ascii="GHEA Grapalat" w:eastAsia="GHEA Grapalat" w:hAnsi="GHEA Grapalat" w:cs="GHEA Grapalat"/>
          <w:sz w:val="24"/>
          <w:szCs w:val="24"/>
          <w:lang w:val="hy-AM"/>
        </w:rPr>
        <w:t xml:space="preserve"> քրեական գործերի հարուցման հարցի լուծումը և կոռուպցիոն հանցա</w:t>
      </w:r>
      <w:r w:rsidR="002352EB" w:rsidRPr="007F090B">
        <w:rPr>
          <w:rFonts w:ascii="GHEA Grapalat" w:eastAsia="GHEA Grapalat" w:hAnsi="GHEA Grapalat" w:cs="GHEA Grapalat"/>
          <w:sz w:val="24"/>
          <w:szCs w:val="24"/>
          <w:lang w:val="hy-AM"/>
        </w:rPr>
        <w:t>նքների</w:t>
      </w:r>
      <w:r w:rsidRPr="007F090B">
        <w:rPr>
          <w:rFonts w:ascii="GHEA Grapalat" w:eastAsia="GHEA Grapalat" w:hAnsi="GHEA Grapalat" w:cs="GHEA Grapalat"/>
          <w:sz w:val="24"/>
          <w:szCs w:val="24"/>
          <w:lang w:val="hy-AM"/>
        </w:rPr>
        <w:t xml:space="preserve"> վերաբերյալ քրեական գործերով նախաքննության կատարումն ամբողջությամբ վերապահվել է բացառապես Հակակոռուպցիոն կոմիտեին: </w:t>
      </w:r>
      <w:r w:rsidR="00B86B72">
        <w:rPr>
          <w:rFonts w:ascii="GHEA Grapalat" w:eastAsia="GHEA Grapalat" w:hAnsi="GHEA Grapalat" w:cs="GHEA Grapalat"/>
          <w:sz w:val="24"/>
          <w:szCs w:val="24"/>
          <w:lang w:val="hy-AM"/>
        </w:rPr>
        <w:t xml:space="preserve">Բացառություն է կազմում 2022թ․ հուլիսի 1-ից մինչև դեկտեմբերի 31-ն ընկած ժամանակահատվածը, երբ կոռուպցիոն ենթադրյալ հանցանքներով քրեական վարույթների մի մասի՝ մասնավոր ոլորտի կոռուպցիոն դեպքերի վերաբերյալ քննությունը վերապահվել է նախաքննական այլ մարմիններին։ </w:t>
      </w:r>
      <w:r w:rsidRPr="007F090B">
        <w:rPr>
          <w:rFonts w:ascii="GHEA Grapalat" w:eastAsia="GHEA Grapalat" w:hAnsi="GHEA Grapalat" w:cs="GHEA Grapalat"/>
          <w:sz w:val="24"/>
          <w:szCs w:val="24"/>
          <w:lang w:val="hy-AM"/>
        </w:rPr>
        <w:t>Այլ կերպ ասած՝ կոռուպցիոն ենթադրյալ հանցա</w:t>
      </w:r>
      <w:r w:rsidR="002352EB" w:rsidRPr="007F090B">
        <w:rPr>
          <w:rFonts w:ascii="GHEA Grapalat" w:eastAsia="GHEA Grapalat" w:hAnsi="GHEA Grapalat" w:cs="GHEA Grapalat"/>
          <w:sz w:val="24"/>
          <w:szCs w:val="24"/>
          <w:lang w:val="hy-AM"/>
        </w:rPr>
        <w:t>նքներով</w:t>
      </w:r>
      <w:r w:rsidRPr="007F090B">
        <w:rPr>
          <w:rFonts w:ascii="GHEA Grapalat" w:eastAsia="GHEA Grapalat" w:hAnsi="GHEA Grapalat" w:cs="GHEA Grapalat"/>
          <w:sz w:val="24"/>
          <w:szCs w:val="24"/>
          <w:lang w:val="hy-AM"/>
        </w:rPr>
        <w:t xml:space="preserve"> գործերի քննությունը վերապահվել է Հակակոռուպցիոն </w:t>
      </w:r>
      <w:r w:rsidRPr="00D02A3D">
        <w:rPr>
          <w:rFonts w:ascii="GHEA Grapalat" w:eastAsia="GHEA Grapalat" w:hAnsi="GHEA Grapalat" w:cs="GHEA Grapalat"/>
          <w:sz w:val="24"/>
          <w:szCs w:val="24"/>
          <w:lang w:val="hy-AM"/>
        </w:rPr>
        <w:t xml:space="preserve">կոմիտեում </w:t>
      </w:r>
      <w:r w:rsidR="0002185D" w:rsidRPr="00D02A3D">
        <w:rPr>
          <w:rFonts w:ascii="GHEA Grapalat" w:eastAsia="GHEA Grapalat" w:hAnsi="GHEA Grapalat" w:cs="GHEA Grapalat"/>
          <w:sz w:val="24"/>
          <w:szCs w:val="24"/>
          <w:lang w:val="hy-AM"/>
        </w:rPr>
        <w:t>3</w:t>
      </w:r>
      <w:r w:rsidR="00D02A3D" w:rsidRPr="00C53D8B">
        <w:rPr>
          <w:rFonts w:ascii="GHEA Grapalat" w:eastAsia="GHEA Grapalat" w:hAnsi="GHEA Grapalat" w:cs="GHEA Grapalat"/>
          <w:sz w:val="24"/>
          <w:szCs w:val="24"/>
          <w:lang w:val="hy-AM"/>
        </w:rPr>
        <w:t>2</w:t>
      </w:r>
      <w:r w:rsidR="00A27011" w:rsidRPr="00D02A3D">
        <w:rPr>
          <w:rFonts w:ascii="GHEA Grapalat" w:eastAsia="GHEA Grapalat" w:hAnsi="GHEA Grapalat" w:cs="GHEA Grapalat"/>
          <w:sz w:val="24"/>
          <w:szCs w:val="24"/>
          <w:lang w:val="hy-AM"/>
        </w:rPr>
        <w:t xml:space="preserve"> </w:t>
      </w:r>
      <w:r w:rsidRPr="00D02A3D">
        <w:rPr>
          <w:rFonts w:ascii="GHEA Grapalat" w:eastAsia="GHEA Grapalat" w:hAnsi="GHEA Grapalat" w:cs="GHEA Grapalat"/>
          <w:sz w:val="24"/>
          <w:szCs w:val="24"/>
          <w:lang w:val="hy-AM"/>
        </w:rPr>
        <w:t xml:space="preserve">ինքնավար </w:t>
      </w:r>
      <w:r w:rsidRPr="007F090B">
        <w:rPr>
          <w:rFonts w:ascii="GHEA Grapalat" w:eastAsia="GHEA Grapalat" w:hAnsi="GHEA Grapalat" w:cs="GHEA Grapalat"/>
          <w:sz w:val="24"/>
          <w:szCs w:val="24"/>
          <w:lang w:val="hy-AM"/>
        </w:rPr>
        <w:t>պաշտոն զբաղեցնող</w:t>
      </w:r>
      <w:r w:rsidR="0002185D" w:rsidRPr="007F090B">
        <w:rPr>
          <w:rFonts w:ascii="GHEA Grapalat" w:eastAsia="GHEA Grapalat" w:hAnsi="GHEA Grapalat" w:cs="GHEA Grapalat"/>
          <w:sz w:val="24"/>
          <w:szCs w:val="24"/>
          <w:lang w:val="hy-AM"/>
        </w:rPr>
        <w:t>,</w:t>
      </w:r>
      <w:r w:rsidR="00764E8B" w:rsidRPr="007F090B">
        <w:rPr>
          <w:rFonts w:ascii="GHEA Grapalat" w:eastAsia="GHEA Grapalat" w:hAnsi="GHEA Grapalat" w:cs="GHEA Grapalat"/>
          <w:sz w:val="24"/>
          <w:szCs w:val="24"/>
          <w:lang w:val="hy-AM"/>
        </w:rPr>
        <w:t xml:space="preserve"> իսկ հետագայում՝ հաստիքների վերջնական համալրումից հետո ընդհանուրը՝ 40 ինքնավար պաշտոն զբաղեցնող անձանց: </w:t>
      </w:r>
    </w:p>
    <w:p w:rsidR="00610899" w:rsidRPr="00AC712C" w:rsidRDefault="00415B60" w:rsidP="00764E8B">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Պետք է նկատի ունենալ նաև այն հանգամանքը, որ Հակակոռուպցիոն կոմիտեում 40 ինքնավար պաշտոնների մի մասը զբաղեցն</w:t>
      </w:r>
      <w:r w:rsidR="00CB28A4" w:rsidRPr="007F090B">
        <w:rPr>
          <w:rFonts w:ascii="GHEA Grapalat" w:eastAsia="GHEA Grapalat" w:hAnsi="GHEA Grapalat" w:cs="GHEA Grapalat"/>
          <w:sz w:val="24"/>
          <w:szCs w:val="24"/>
          <w:lang w:val="hy-AM"/>
        </w:rPr>
        <w:t>ում</w:t>
      </w:r>
      <w:r w:rsidRPr="007F090B">
        <w:rPr>
          <w:rFonts w:ascii="GHEA Grapalat" w:eastAsia="GHEA Grapalat" w:hAnsi="GHEA Grapalat" w:cs="GHEA Grapalat"/>
          <w:sz w:val="24"/>
          <w:szCs w:val="24"/>
          <w:lang w:val="hy-AM"/>
        </w:rPr>
        <w:t xml:space="preserve"> են Հակակոռուպցիոն կոմիտեի նախագահը, նրա տեղակալները, վարչության պետերն ու նրանց տեղակալները, այսինքն՝ ստացվում է, որ կոնկրետ քրեական գործերով </w:t>
      </w:r>
      <w:r w:rsidRPr="00AC712C">
        <w:rPr>
          <w:rFonts w:ascii="GHEA Grapalat" w:eastAsia="GHEA Grapalat" w:hAnsi="GHEA Grapalat" w:cs="GHEA Grapalat"/>
          <w:sz w:val="24"/>
          <w:szCs w:val="24"/>
          <w:lang w:val="hy-AM"/>
        </w:rPr>
        <w:t xml:space="preserve">նախաքննություն </w:t>
      </w:r>
      <w:r w:rsidR="00B93050" w:rsidRPr="00AC712C">
        <w:rPr>
          <w:rFonts w:ascii="GHEA Grapalat" w:eastAsia="GHEA Grapalat" w:hAnsi="GHEA Grapalat" w:cs="GHEA Grapalat"/>
          <w:sz w:val="24"/>
          <w:szCs w:val="24"/>
          <w:lang w:val="hy-AM"/>
        </w:rPr>
        <w:t xml:space="preserve">ներկայումս </w:t>
      </w:r>
      <w:r w:rsidRPr="00AC712C">
        <w:rPr>
          <w:rFonts w:ascii="GHEA Grapalat" w:eastAsia="GHEA Grapalat" w:hAnsi="GHEA Grapalat" w:cs="GHEA Grapalat"/>
          <w:sz w:val="24"/>
          <w:szCs w:val="24"/>
          <w:lang w:val="hy-AM"/>
        </w:rPr>
        <w:t>կատարող անձանց (քննիչների) թիվ</w:t>
      </w:r>
      <w:r w:rsidR="00CB28A4" w:rsidRPr="00AC712C">
        <w:rPr>
          <w:rFonts w:ascii="GHEA Grapalat" w:eastAsia="GHEA Grapalat" w:hAnsi="GHEA Grapalat" w:cs="GHEA Grapalat"/>
          <w:sz w:val="24"/>
          <w:szCs w:val="24"/>
          <w:lang w:val="hy-AM"/>
        </w:rPr>
        <w:t>ը 23-ն է:</w:t>
      </w:r>
      <w:r w:rsidRPr="00AC712C">
        <w:rPr>
          <w:rFonts w:ascii="GHEA Grapalat" w:eastAsia="GHEA Grapalat" w:hAnsi="GHEA Grapalat" w:cs="GHEA Grapalat"/>
          <w:sz w:val="24"/>
          <w:szCs w:val="24"/>
          <w:lang w:val="hy-AM"/>
        </w:rPr>
        <w:t xml:space="preserve"> </w:t>
      </w:r>
    </w:p>
    <w:p w:rsidR="002919BB" w:rsidRPr="00AC712C" w:rsidRDefault="002919BB" w:rsidP="00AC712C">
      <w:pPr>
        <w:spacing w:after="0" w:line="360" w:lineRule="auto"/>
        <w:ind w:firstLine="720"/>
        <w:jc w:val="both"/>
        <w:rPr>
          <w:rFonts w:ascii="GHEA Grapalat" w:hAnsi="GHEA Grapalat"/>
          <w:b/>
          <w:i/>
          <w:sz w:val="24"/>
          <w:szCs w:val="24"/>
          <w:lang w:val="hy-AM"/>
        </w:rPr>
      </w:pPr>
      <w:r w:rsidRPr="00AC712C">
        <w:rPr>
          <w:rFonts w:ascii="GHEA Grapalat" w:eastAsia="Calibri" w:hAnsi="GHEA Grapalat"/>
          <w:bCs/>
          <w:sz w:val="24"/>
          <w:szCs w:val="24"/>
          <w:lang w:val="hy-AM"/>
        </w:rPr>
        <w:t xml:space="preserve">Այս համատեքստում հատկանշական է, որ </w:t>
      </w:r>
      <w:r w:rsidRPr="00AC712C">
        <w:rPr>
          <w:rFonts w:ascii="GHEA Grapalat" w:eastAsia="Calibri" w:hAnsi="GHEA Grapalat" w:cs="Sylfaen"/>
          <w:bCs/>
          <w:sz w:val="24"/>
          <w:szCs w:val="24"/>
          <w:lang w:val="hy-AM"/>
        </w:rPr>
        <w:t>ծավալային</w:t>
      </w:r>
      <w:r w:rsidRPr="00AC712C">
        <w:rPr>
          <w:rFonts w:ascii="GHEA Grapalat" w:eastAsia="Calibri" w:hAnsi="GHEA Grapalat"/>
          <w:bCs/>
          <w:sz w:val="24"/>
          <w:szCs w:val="24"/>
          <w:lang w:val="hy-AM"/>
        </w:rPr>
        <w:t xml:space="preserve"> </w:t>
      </w:r>
      <w:r w:rsidRPr="00AC712C">
        <w:rPr>
          <w:rFonts w:ascii="GHEA Grapalat" w:eastAsia="Calibri" w:hAnsi="GHEA Grapalat" w:cs="Sylfaen"/>
          <w:bCs/>
          <w:sz w:val="24"/>
          <w:szCs w:val="24"/>
          <w:lang w:val="hy-AM"/>
        </w:rPr>
        <w:t>առումով</w:t>
      </w:r>
      <w:r w:rsidRPr="00AC712C">
        <w:rPr>
          <w:rFonts w:ascii="GHEA Grapalat" w:eastAsia="Calibri" w:hAnsi="GHEA Grapalat"/>
          <w:bCs/>
          <w:sz w:val="24"/>
          <w:szCs w:val="24"/>
          <w:lang w:val="hy-AM"/>
        </w:rPr>
        <w:t xml:space="preserve"> </w:t>
      </w:r>
      <w:r w:rsidRPr="00AC712C">
        <w:rPr>
          <w:rFonts w:ascii="GHEA Grapalat" w:eastAsia="Calibri" w:hAnsi="GHEA Grapalat" w:cs="Sylfaen"/>
          <w:bCs/>
          <w:sz w:val="24"/>
          <w:szCs w:val="24"/>
          <w:lang w:val="hy-AM"/>
        </w:rPr>
        <w:t>Կոմիտեի</w:t>
      </w:r>
      <w:r w:rsidRPr="00AC712C">
        <w:rPr>
          <w:rFonts w:ascii="GHEA Grapalat" w:eastAsia="Calibri" w:hAnsi="GHEA Grapalat"/>
          <w:bCs/>
          <w:sz w:val="24"/>
          <w:szCs w:val="24"/>
          <w:lang w:val="hy-AM"/>
        </w:rPr>
        <w:t xml:space="preserve"> </w:t>
      </w:r>
      <w:r w:rsidRPr="00AC712C">
        <w:rPr>
          <w:rFonts w:ascii="GHEA Grapalat" w:eastAsia="Calibri" w:hAnsi="GHEA Grapalat" w:cs="Sylfaen"/>
          <w:bCs/>
          <w:sz w:val="24"/>
          <w:szCs w:val="24"/>
          <w:lang w:val="hy-AM"/>
        </w:rPr>
        <w:t>ձևավորումից</w:t>
      </w:r>
      <w:r w:rsidRPr="00AC712C">
        <w:rPr>
          <w:rFonts w:ascii="GHEA Grapalat" w:eastAsia="Calibri" w:hAnsi="GHEA Grapalat"/>
          <w:bCs/>
          <w:sz w:val="24"/>
          <w:szCs w:val="24"/>
          <w:lang w:val="hy-AM"/>
        </w:rPr>
        <w:t xml:space="preserve"> </w:t>
      </w:r>
      <w:r w:rsidRPr="00AC712C">
        <w:rPr>
          <w:rFonts w:ascii="GHEA Grapalat" w:eastAsia="Calibri" w:hAnsi="GHEA Grapalat" w:cs="Sylfaen"/>
          <w:bCs/>
          <w:sz w:val="24"/>
          <w:szCs w:val="24"/>
          <w:lang w:val="hy-AM"/>
        </w:rPr>
        <w:t>ի</w:t>
      </w:r>
      <w:r w:rsidRPr="00AC712C">
        <w:rPr>
          <w:rFonts w:ascii="GHEA Grapalat" w:eastAsia="Calibri" w:hAnsi="GHEA Grapalat"/>
          <w:bCs/>
          <w:sz w:val="24"/>
          <w:szCs w:val="24"/>
          <w:lang w:val="hy-AM"/>
        </w:rPr>
        <w:t xml:space="preserve"> </w:t>
      </w:r>
      <w:r w:rsidRPr="00AC712C">
        <w:rPr>
          <w:rFonts w:ascii="GHEA Grapalat" w:eastAsia="Calibri" w:hAnsi="GHEA Grapalat" w:cs="Sylfaen"/>
          <w:bCs/>
          <w:sz w:val="24"/>
          <w:szCs w:val="24"/>
          <w:lang w:val="hy-AM"/>
        </w:rPr>
        <w:t>վեր</w:t>
      </w:r>
      <w:r w:rsidRPr="00AC712C">
        <w:rPr>
          <w:rFonts w:ascii="GHEA Grapalat" w:eastAsia="Calibri" w:hAnsi="GHEA Grapalat"/>
          <w:bCs/>
          <w:sz w:val="24"/>
          <w:szCs w:val="24"/>
          <w:lang w:val="hy-AM"/>
        </w:rPr>
        <w:t xml:space="preserve"> </w:t>
      </w:r>
      <w:r w:rsidRPr="00AC712C">
        <w:rPr>
          <w:rFonts w:ascii="GHEA Grapalat" w:hAnsi="GHEA Grapalat" w:cs="Sylfaen"/>
          <w:color w:val="000000"/>
          <w:sz w:val="24"/>
          <w:szCs w:val="24"/>
          <w:lang w:val="hy-AM"/>
        </w:rPr>
        <w:t>կոռուպցիոն</w:t>
      </w:r>
      <w:r w:rsidRPr="00AC712C">
        <w:rPr>
          <w:rFonts w:ascii="GHEA Grapalat" w:hAnsi="GHEA Grapalat"/>
          <w:color w:val="000000"/>
          <w:sz w:val="24"/>
          <w:szCs w:val="24"/>
          <w:lang w:val="hy-AM"/>
        </w:rPr>
        <w:t xml:space="preserve"> </w:t>
      </w:r>
      <w:r w:rsidRPr="00AC712C">
        <w:rPr>
          <w:rFonts w:ascii="GHEA Grapalat" w:hAnsi="GHEA Grapalat" w:cs="Sylfaen"/>
          <w:color w:val="000000"/>
          <w:sz w:val="24"/>
          <w:szCs w:val="24"/>
          <w:lang w:val="hy-AM"/>
        </w:rPr>
        <w:t>բնույթի</w:t>
      </w:r>
      <w:r w:rsidRPr="00AC712C">
        <w:rPr>
          <w:rFonts w:ascii="GHEA Grapalat" w:hAnsi="GHEA Grapalat"/>
          <w:color w:val="000000"/>
          <w:sz w:val="24"/>
          <w:szCs w:val="24"/>
          <w:lang w:val="hy-AM"/>
        </w:rPr>
        <w:t xml:space="preserve"> </w:t>
      </w:r>
      <w:r w:rsidRPr="00AC712C">
        <w:rPr>
          <w:rFonts w:ascii="GHEA Grapalat" w:hAnsi="GHEA Grapalat" w:cs="Sylfaen"/>
          <w:color w:val="000000"/>
          <w:sz w:val="24"/>
          <w:szCs w:val="24"/>
          <w:lang w:val="hy-AM"/>
        </w:rPr>
        <w:t>հանցագործությունների քանակային գերակշռություն</w:t>
      </w:r>
      <w:r w:rsidR="00506C60" w:rsidRPr="00AC712C">
        <w:rPr>
          <w:rFonts w:ascii="GHEA Grapalat" w:hAnsi="GHEA Grapalat" w:cs="Sylfaen"/>
          <w:color w:val="000000"/>
          <w:sz w:val="24"/>
          <w:szCs w:val="24"/>
          <w:lang w:val="hy-AM"/>
        </w:rPr>
        <w:t>ն</w:t>
      </w:r>
      <w:r w:rsidR="00BA512C" w:rsidRPr="00AC712C">
        <w:rPr>
          <w:rFonts w:ascii="GHEA Grapalat" w:hAnsi="GHEA Grapalat" w:cs="Sylfaen"/>
          <w:color w:val="000000"/>
          <w:sz w:val="24"/>
          <w:szCs w:val="24"/>
          <w:lang w:val="hy-AM"/>
        </w:rPr>
        <w:t xml:space="preserve"> </w:t>
      </w:r>
      <w:r w:rsidRPr="00AC712C">
        <w:rPr>
          <w:rFonts w:ascii="GHEA Grapalat" w:hAnsi="GHEA Grapalat" w:cs="Sylfaen"/>
          <w:color w:val="000000"/>
          <w:sz w:val="24"/>
          <w:szCs w:val="24"/>
          <w:lang w:val="hy-AM"/>
        </w:rPr>
        <w:t>արդեն իսկ խոսուն է:</w:t>
      </w:r>
      <w:r w:rsidRPr="00AC712C">
        <w:rPr>
          <w:rFonts w:ascii="GHEA Grapalat" w:eastAsia="Calibri" w:hAnsi="GHEA Grapalat"/>
          <w:bCs/>
          <w:sz w:val="24"/>
          <w:szCs w:val="24"/>
          <w:lang w:val="hy-AM"/>
        </w:rPr>
        <w:t xml:space="preserve"> </w:t>
      </w:r>
      <w:r w:rsidRPr="00AC712C">
        <w:rPr>
          <w:rFonts w:ascii="GHEA Grapalat" w:eastAsia="Calibri" w:hAnsi="GHEA Grapalat" w:cs="Sylfaen"/>
          <w:bCs/>
          <w:sz w:val="24"/>
          <w:szCs w:val="24"/>
          <w:lang w:val="hy-AM"/>
        </w:rPr>
        <w:t>Այսպես՝</w:t>
      </w:r>
      <w:r w:rsidRPr="00AC712C">
        <w:rPr>
          <w:rFonts w:ascii="GHEA Grapalat" w:eastAsia="Calibri" w:hAnsi="GHEA Grapalat"/>
          <w:bCs/>
          <w:sz w:val="24"/>
          <w:szCs w:val="24"/>
          <w:lang w:val="hy-AM"/>
        </w:rPr>
        <w:t xml:space="preserve"> </w:t>
      </w:r>
      <w:r w:rsidRPr="00AC712C">
        <w:rPr>
          <w:rFonts w:ascii="GHEA Grapalat" w:hAnsi="GHEA Grapalat"/>
          <w:sz w:val="24"/>
          <w:szCs w:val="24"/>
          <w:lang w:val="hy-AM"/>
        </w:rPr>
        <w:t xml:space="preserve">Կոմիտեի քննիչների կողմից 2021 թվականի հոկտեմբերի 23-ից 2022 թվականի </w:t>
      </w:r>
      <w:r w:rsidR="00AC712C" w:rsidRPr="00AC712C">
        <w:rPr>
          <w:rFonts w:ascii="GHEA Grapalat" w:hAnsi="GHEA Grapalat"/>
          <w:sz w:val="24"/>
          <w:szCs w:val="24"/>
          <w:lang w:val="hy-AM"/>
        </w:rPr>
        <w:t xml:space="preserve">նոյեմբերի </w:t>
      </w:r>
      <w:r w:rsidRPr="00AC712C">
        <w:rPr>
          <w:rFonts w:ascii="GHEA Grapalat" w:hAnsi="GHEA Grapalat"/>
          <w:sz w:val="24"/>
          <w:szCs w:val="24"/>
          <w:lang w:val="hy-AM"/>
        </w:rPr>
        <w:t xml:space="preserve"> </w:t>
      </w:r>
      <w:r w:rsidR="00AC712C" w:rsidRPr="00AC712C">
        <w:rPr>
          <w:rFonts w:ascii="GHEA Grapalat" w:hAnsi="GHEA Grapalat"/>
          <w:sz w:val="24"/>
          <w:szCs w:val="24"/>
          <w:lang w:val="hy-AM"/>
        </w:rPr>
        <w:t>7</w:t>
      </w:r>
      <w:r w:rsidRPr="00AC712C">
        <w:rPr>
          <w:rFonts w:ascii="GHEA Grapalat" w:hAnsi="GHEA Grapalat"/>
          <w:sz w:val="24"/>
          <w:szCs w:val="24"/>
          <w:lang w:val="hy-AM"/>
        </w:rPr>
        <w:t xml:space="preserve">-ն ընկած ժամանակահատվածում քննվել է </w:t>
      </w:r>
      <w:r w:rsidR="00AC712C" w:rsidRPr="00AC712C">
        <w:rPr>
          <w:rFonts w:ascii="GHEA Grapalat" w:hAnsi="GHEA Grapalat"/>
          <w:b/>
          <w:sz w:val="24"/>
          <w:szCs w:val="24"/>
          <w:lang w:val="hy-AM"/>
        </w:rPr>
        <w:t>1082</w:t>
      </w:r>
      <w:r w:rsidRPr="00AC712C">
        <w:rPr>
          <w:rFonts w:ascii="GHEA Grapalat" w:hAnsi="GHEA Grapalat"/>
          <w:b/>
          <w:sz w:val="24"/>
          <w:szCs w:val="24"/>
          <w:lang w:val="hy-AM"/>
        </w:rPr>
        <w:t xml:space="preserve"> </w:t>
      </w:r>
      <w:r w:rsidRPr="00AC712C">
        <w:rPr>
          <w:rFonts w:ascii="GHEA Grapalat" w:hAnsi="GHEA Grapalat"/>
          <w:sz w:val="24"/>
          <w:szCs w:val="24"/>
          <w:lang w:val="hy-AM"/>
        </w:rPr>
        <w:t>քրեական գործ/վարույթ, որից</w:t>
      </w:r>
      <w:r w:rsidR="00B86B72" w:rsidRPr="00AC712C">
        <w:rPr>
          <w:rFonts w:ascii="GHEA Grapalat" w:hAnsi="GHEA Grapalat"/>
          <w:sz w:val="24"/>
          <w:szCs w:val="24"/>
          <w:lang w:val="hy-AM"/>
        </w:rPr>
        <w:t xml:space="preserve"> </w:t>
      </w:r>
      <w:r w:rsidR="00AC712C" w:rsidRPr="00AC712C">
        <w:rPr>
          <w:rFonts w:ascii="GHEA Grapalat" w:hAnsi="GHEA Grapalat"/>
          <w:b/>
          <w:i/>
          <w:sz w:val="24"/>
          <w:szCs w:val="24"/>
          <w:lang w:val="hy-AM"/>
        </w:rPr>
        <w:t>90</w:t>
      </w:r>
      <w:r w:rsidRPr="00AC712C">
        <w:rPr>
          <w:rFonts w:ascii="GHEA Grapalat" w:hAnsi="GHEA Grapalat"/>
          <w:b/>
          <w:i/>
          <w:sz w:val="24"/>
          <w:szCs w:val="24"/>
          <w:lang w:val="hy-AM"/>
        </w:rPr>
        <w:t xml:space="preserve"> </w:t>
      </w:r>
      <w:r w:rsidRPr="00AC712C">
        <w:rPr>
          <w:rFonts w:ascii="GHEA Grapalat" w:hAnsi="GHEA Grapalat"/>
          <w:sz w:val="24"/>
          <w:szCs w:val="24"/>
          <w:lang w:val="hy-AM"/>
        </w:rPr>
        <w:t>քրեական գործ</w:t>
      </w:r>
      <w:r w:rsidR="00AC712C" w:rsidRPr="00AC712C">
        <w:rPr>
          <w:rFonts w:ascii="GHEA Grapalat" w:hAnsi="GHEA Grapalat"/>
          <w:sz w:val="24"/>
          <w:szCs w:val="24"/>
          <w:lang w:val="hy-AM"/>
        </w:rPr>
        <w:t>/ վարույթ</w:t>
      </w:r>
      <w:r w:rsidRPr="00AC712C">
        <w:rPr>
          <w:rFonts w:ascii="GHEA Grapalat" w:hAnsi="GHEA Grapalat"/>
          <w:sz w:val="24"/>
          <w:szCs w:val="24"/>
          <w:lang w:val="hy-AM"/>
        </w:rPr>
        <w:t xml:space="preserve"> </w:t>
      </w:r>
      <w:r w:rsidR="00AC712C" w:rsidRPr="00AC712C">
        <w:rPr>
          <w:rFonts w:ascii="GHEA Grapalat" w:hAnsi="GHEA Grapalat"/>
          <w:b/>
          <w:i/>
          <w:sz w:val="24"/>
          <w:szCs w:val="24"/>
          <w:lang w:val="hy-AM"/>
        </w:rPr>
        <w:t>203</w:t>
      </w:r>
      <w:r w:rsidRPr="00AC712C">
        <w:rPr>
          <w:rFonts w:ascii="GHEA Grapalat" w:hAnsi="GHEA Grapalat"/>
          <w:b/>
          <w:i/>
          <w:sz w:val="24"/>
          <w:szCs w:val="24"/>
          <w:lang w:val="hy-AM"/>
        </w:rPr>
        <w:t xml:space="preserve"> անձի</w:t>
      </w:r>
      <w:r w:rsidRPr="00AC712C">
        <w:rPr>
          <w:rFonts w:ascii="GHEA Grapalat" w:hAnsi="GHEA Grapalat"/>
          <w:sz w:val="24"/>
          <w:szCs w:val="24"/>
          <w:lang w:val="hy-AM"/>
        </w:rPr>
        <w:t xml:space="preserve"> վերաբերյալ մեղադրական եզրակացությամբ ուղարկվել է դատարան</w:t>
      </w:r>
      <w:r w:rsidR="00B86B72" w:rsidRPr="00AC712C">
        <w:rPr>
          <w:rFonts w:ascii="GHEA Grapalat" w:hAnsi="GHEA Grapalat"/>
          <w:sz w:val="24"/>
          <w:szCs w:val="24"/>
          <w:lang w:val="hy-AM"/>
        </w:rPr>
        <w:t>։</w:t>
      </w:r>
    </w:p>
    <w:p w:rsidR="00415B60" w:rsidRPr="003A665A" w:rsidRDefault="002919BB" w:rsidP="009E5532">
      <w:pPr>
        <w:tabs>
          <w:tab w:val="left" w:pos="993"/>
          <w:tab w:val="left" w:pos="1134"/>
        </w:tabs>
        <w:spacing w:after="0" w:line="360" w:lineRule="auto"/>
        <w:ind w:firstLine="567"/>
        <w:jc w:val="both"/>
        <w:rPr>
          <w:rFonts w:ascii="GHEA Grapalat" w:hAnsi="GHEA Grapalat"/>
          <w:sz w:val="24"/>
          <w:szCs w:val="24"/>
          <w:lang w:val="hy-AM"/>
        </w:rPr>
      </w:pPr>
      <w:r w:rsidRPr="00AC712C">
        <w:rPr>
          <w:rFonts w:ascii="GHEA Grapalat" w:hAnsi="GHEA Grapalat"/>
          <w:sz w:val="24"/>
          <w:szCs w:val="24"/>
          <w:lang w:val="hy-AM"/>
        </w:rPr>
        <w:t>Նշված ժամանակահատվածում նախապ</w:t>
      </w:r>
      <w:r w:rsidRPr="007F090B">
        <w:rPr>
          <w:rFonts w:ascii="GHEA Grapalat" w:hAnsi="GHEA Grapalat"/>
          <w:sz w:val="24"/>
          <w:szCs w:val="24"/>
          <w:lang w:val="hy-AM"/>
        </w:rPr>
        <w:t xml:space="preserve">ատրաստվել է </w:t>
      </w:r>
      <w:r w:rsidR="00112B22">
        <w:rPr>
          <w:rFonts w:ascii="GHEA Grapalat" w:hAnsi="GHEA Grapalat"/>
          <w:b/>
          <w:sz w:val="24"/>
          <w:szCs w:val="24"/>
          <w:lang w:val="hy-AM"/>
        </w:rPr>
        <w:t>706</w:t>
      </w:r>
      <w:r w:rsidRPr="007F090B">
        <w:rPr>
          <w:rFonts w:ascii="GHEA Grapalat" w:hAnsi="GHEA Grapalat"/>
          <w:sz w:val="24"/>
          <w:szCs w:val="24"/>
          <w:lang w:val="hy-AM"/>
        </w:rPr>
        <w:t xml:space="preserve"> նյութ, </w:t>
      </w:r>
      <w:r w:rsidR="00B86B72">
        <w:rPr>
          <w:rFonts w:ascii="GHEA Grapalat" w:hAnsi="GHEA Grapalat"/>
          <w:sz w:val="24"/>
          <w:szCs w:val="24"/>
          <w:lang w:val="hy-AM"/>
        </w:rPr>
        <w:t xml:space="preserve">ստացվել և քննարկվել է </w:t>
      </w:r>
      <w:r w:rsidR="003A665A">
        <w:rPr>
          <w:rFonts w:ascii="GHEA Grapalat" w:hAnsi="GHEA Grapalat"/>
          <w:b/>
          <w:i/>
          <w:sz w:val="24"/>
          <w:szCs w:val="24"/>
          <w:lang w:val="hy-AM"/>
        </w:rPr>
        <w:t>2027</w:t>
      </w:r>
      <w:r w:rsidRPr="007F090B">
        <w:rPr>
          <w:rFonts w:ascii="GHEA Grapalat" w:hAnsi="GHEA Grapalat"/>
          <w:b/>
          <w:i/>
          <w:sz w:val="24"/>
          <w:szCs w:val="24"/>
          <w:lang w:val="hy-AM"/>
        </w:rPr>
        <w:t xml:space="preserve"> </w:t>
      </w:r>
      <w:r w:rsidRPr="00B86B72">
        <w:rPr>
          <w:rFonts w:ascii="GHEA Grapalat" w:hAnsi="GHEA Grapalat"/>
          <w:b/>
          <w:i/>
          <w:sz w:val="24"/>
          <w:szCs w:val="24"/>
          <w:lang w:val="hy-AM"/>
        </w:rPr>
        <w:t xml:space="preserve"> </w:t>
      </w:r>
      <w:r w:rsidRPr="00B86B72">
        <w:rPr>
          <w:rFonts w:ascii="GHEA Grapalat" w:hAnsi="GHEA Grapalat"/>
          <w:sz w:val="24"/>
          <w:szCs w:val="24"/>
          <w:lang w:val="hy-AM"/>
        </w:rPr>
        <w:t>դիմում</w:t>
      </w:r>
      <w:r w:rsidRPr="007F090B">
        <w:rPr>
          <w:rFonts w:ascii="GHEA Grapalat" w:hAnsi="GHEA Grapalat"/>
          <w:sz w:val="24"/>
          <w:szCs w:val="24"/>
          <w:lang w:val="hy-AM"/>
        </w:rPr>
        <w:t>/հաղորդում:</w:t>
      </w:r>
    </w:p>
    <w:p w:rsidR="00B93050" w:rsidRPr="003A665A" w:rsidRDefault="00CB28A4"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lastRenderedPageBreak/>
        <w:t xml:space="preserve">Վերոգրյալից բխում է, որ </w:t>
      </w:r>
      <w:r w:rsidR="00BA512C" w:rsidRPr="003A665A">
        <w:rPr>
          <w:rFonts w:ascii="GHEA Grapalat" w:eastAsia="GHEA Grapalat" w:hAnsi="GHEA Grapalat" w:cs="GHEA Grapalat"/>
          <w:sz w:val="24"/>
          <w:szCs w:val="24"/>
          <w:lang w:val="hy-AM"/>
        </w:rPr>
        <w:t>Կ</w:t>
      </w:r>
      <w:r w:rsidR="00415B60" w:rsidRPr="003A665A">
        <w:rPr>
          <w:rFonts w:ascii="GHEA Grapalat" w:eastAsia="GHEA Grapalat" w:hAnsi="GHEA Grapalat" w:cs="GHEA Grapalat"/>
          <w:sz w:val="24"/>
          <w:szCs w:val="24"/>
          <w:lang w:val="hy-AM"/>
        </w:rPr>
        <w:t>ոմիտեն, մասնագիտացված լինելով բացառապես կոռուպցիոն բնույթի հանցագործությունների քննությամբ, ներկայումս իր վարույթ է ընդունել</w:t>
      </w:r>
      <w:r w:rsidR="003A665A">
        <w:rPr>
          <w:rFonts w:ascii="GHEA Grapalat" w:eastAsia="GHEA Grapalat" w:hAnsi="GHEA Grapalat" w:cs="GHEA Grapalat"/>
          <w:sz w:val="24"/>
          <w:szCs w:val="24"/>
          <w:lang w:val="hy-AM"/>
        </w:rPr>
        <w:t>, քննել</w:t>
      </w:r>
      <w:r w:rsidR="00415B60" w:rsidRPr="003A665A">
        <w:rPr>
          <w:rFonts w:ascii="GHEA Grapalat" w:eastAsia="GHEA Grapalat" w:hAnsi="GHEA Grapalat" w:cs="GHEA Grapalat"/>
          <w:sz w:val="24"/>
          <w:szCs w:val="24"/>
          <w:lang w:val="hy-AM"/>
        </w:rPr>
        <w:t xml:space="preserve"> և քննում է մեծ քանակի քրեական գործեր ու նյութեր, հետևաբար քննիչներն աշխատում են աննախադեպ մեծ ծանրաբեռնվածության պայմաններում։ </w:t>
      </w:r>
    </w:p>
    <w:p w:rsidR="001842AF" w:rsidRPr="003A665A" w:rsidRDefault="00B93050" w:rsidP="001842AF">
      <w:pPr>
        <w:spacing w:after="0" w:line="360" w:lineRule="auto"/>
        <w:ind w:firstLine="720"/>
        <w:jc w:val="both"/>
        <w:rPr>
          <w:rFonts w:ascii="GHEA Grapalat" w:eastAsia="GHEA Grapalat" w:hAnsi="GHEA Grapalat" w:cs="GHEA Grapalat"/>
          <w:sz w:val="24"/>
          <w:szCs w:val="24"/>
          <w:lang w:val="hy-AM"/>
        </w:rPr>
      </w:pPr>
      <w:r w:rsidRPr="003A665A">
        <w:rPr>
          <w:rFonts w:ascii="GHEA Grapalat" w:eastAsia="GHEA Grapalat" w:hAnsi="GHEA Grapalat" w:cs="GHEA Grapalat"/>
          <w:sz w:val="24"/>
          <w:szCs w:val="24"/>
          <w:lang w:val="hy-AM"/>
        </w:rPr>
        <w:t>Այս ամենը հաշվի առնելով</w:t>
      </w:r>
      <w:r w:rsidR="009E5532">
        <w:rPr>
          <w:rFonts w:ascii="GHEA Grapalat" w:eastAsia="GHEA Grapalat" w:hAnsi="GHEA Grapalat" w:cs="GHEA Grapalat"/>
          <w:sz w:val="24"/>
          <w:szCs w:val="24"/>
          <w:lang w:val="hy-AM"/>
        </w:rPr>
        <w:t>՝</w:t>
      </w:r>
      <w:r w:rsidRPr="003A665A">
        <w:rPr>
          <w:rFonts w:ascii="GHEA Grapalat" w:eastAsia="GHEA Grapalat" w:hAnsi="GHEA Grapalat" w:cs="GHEA Grapalat"/>
          <w:sz w:val="24"/>
          <w:szCs w:val="24"/>
          <w:lang w:val="hy-AM"/>
        </w:rPr>
        <w:t xml:space="preserve"> 1998 թվականի հուլիսի 1-ին ընդունված ՀՀ </w:t>
      </w:r>
      <w:r w:rsidR="00BB76F9" w:rsidRPr="003A665A">
        <w:rPr>
          <w:rFonts w:ascii="GHEA Grapalat" w:eastAsia="GHEA Grapalat" w:hAnsi="GHEA Grapalat" w:cs="GHEA Grapalat"/>
          <w:sz w:val="24"/>
          <w:szCs w:val="24"/>
          <w:lang w:val="hy-AM"/>
        </w:rPr>
        <w:t>քր</w:t>
      </w:r>
      <w:r w:rsidRPr="003A665A">
        <w:rPr>
          <w:rFonts w:ascii="GHEA Grapalat" w:eastAsia="GHEA Grapalat" w:hAnsi="GHEA Grapalat" w:cs="GHEA Grapalat"/>
          <w:sz w:val="24"/>
          <w:szCs w:val="24"/>
          <w:lang w:val="hy-AM"/>
        </w:rPr>
        <w:t xml:space="preserve">եական դատավարության օրենսգրքում </w:t>
      </w:r>
      <w:r w:rsidR="0055343C" w:rsidRPr="003A665A">
        <w:rPr>
          <w:rFonts w:ascii="GHEA Grapalat" w:eastAsia="GHEA Grapalat" w:hAnsi="GHEA Grapalat" w:cs="GHEA Grapalat"/>
          <w:sz w:val="24"/>
          <w:szCs w:val="24"/>
          <w:lang w:val="hy-AM"/>
        </w:rPr>
        <w:t xml:space="preserve">(այսուհետ՝ </w:t>
      </w:r>
      <w:r w:rsidR="00DA1BB1" w:rsidRPr="003A665A">
        <w:rPr>
          <w:rFonts w:ascii="GHEA Grapalat" w:eastAsia="GHEA Grapalat" w:hAnsi="GHEA Grapalat" w:cs="GHEA Grapalat"/>
          <w:sz w:val="24"/>
          <w:szCs w:val="24"/>
          <w:lang w:val="hy-AM"/>
        </w:rPr>
        <w:t>հին օրենսգիրք</w:t>
      </w:r>
      <w:r w:rsidR="0055343C" w:rsidRPr="003A665A">
        <w:rPr>
          <w:rFonts w:ascii="GHEA Grapalat" w:eastAsia="GHEA Grapalat" w:hAnsi="GHEA Grapalat" w:cs="GHEA Grapalat"/>
          <w:sz w:val="24"/>
          <w:szCs w:val="24"/>
          <w:lang w:val="hy-AM"/>
        </w:rPr>
        <w:t xml:space="preserve">) </w:t>
      </w:r>
      <w:r w:rsidRPr="003A665A">
        <w:rPr>
          <w:rFonts w:ascii="GHEA Grapalat" w:eastAsia="GHEA Grapalat" w:hAnsi="GHEA Grapalat" w:cs="GHEA Grapalat"/>
          <w:sz w:val="24"/>
          <w:szCs w:val="24"/>
          <w:lang w:val="hy-AM"/>
        </w:rPr>
        <w:t xml:space="preserve">2022 թվականի մայիսի 25-ին </w:t>
      </w:r>
      <w:r w:rsidR="0062371B" w:rsidRPr="003A665A">
        <w:rPr>
          <w:rFonts w:ascii="GHEA Grapalat" w:eastAsia="GHEA Grapalat" w:hAnsi="GHEA Grapalat" w:cs="GHEA Grapalat"/>
          <w:sz w:val="24"/>
          <w:szCs w:val="24"/>
          <w:lang w:val="hy-AM"/>
        </w:rPr>
        <w:t>թ</w:t>
      </w:r>
      <w:r w:rsidRPr="003A665A">
        <w:rPr>
          <w:rFonts w:ascii="GHEA Grapalat" w:eastAsia="GHEA Grapalat" w:hAnsi="GHEA Grapalat" w:cs="GHEA Grapalat"/>
          <w:sz w:val="24"/>
          <w:szCs w:val="24"/>
          <w:lang w:val="hy-AM"/>
        </w:rPr>
        <w:t>իվ ՀՕ-140-Ն</w:t>
      </w:r>
      <w:r w:rsidR="0062371B" w:rsidRPr="003A665A">
        <w:rPr>
          <w:rFonts w:ascii="GHEA Grapalat" w:eastAsia="GHEA Grapalat" w:hAnsi="GHEA Grapalat" w:cs="GHEA Grapalat"/>
          <w:sz w:val="24"/>
          <w:szCs w:val="24"/>
          <w:lang w:val="hy-AM"/>
        </w:rPr>
        <w:t xml:space="preserve"> օրենքով</w:t>
      </w:r>
      <w:r w:rsidRPr="003A665A">
        <w:rPr>
          <w:rFonts w:ascii="GHEA Grapalat" w:eastAsia="GHEA Grapalat" w:hAnsi="GHEA Grapalat" w:cs="GHEA Grapalat"/>
          <w:sz w:val="24"/>
          <w:szCs w:val="24"/>
          <w:lang w:val="hy-AM"/>
        </w:rPr>
        <w:t xml:space="preserve"> կատարվել </w:t>
      </w:r>
      <w:r w:rsidR="009030D2">
        <w:rPr>
          <w:rFonts w:ascii="GHEA Grapalat" w:eastAsia="GHEA Grapalat" w:hAnsi="GHEA Grapalat" w:cs="GHEA Grapalat"/>
          <w:sz w:val="24"/>
          <w:szCs w:val="24"/>
          <w:lang w:val="hy-AM"/>
        </w:rPr>
        <w:t>են</w:t>
      </w:r>
      <w:r w:rsidRPr="003A665A">
        <w:rPr>
          <w:rFonts w:ascii="GHEA Grapalat" w:eastAsia="GHEA Grapalat" w:hAnsi="GHEA Grapalat" w:cs="GHEA Grapalat"/>
          <w:sz w:val="24"/>
          <w:szCs w:val="24"/>
          <w:lang w:val="hy-AM"/>
        </w:rPr>
        <w:t xml:space="preserve"> փոփոխություններ և լրացում, որով փոփոխության է ենթարկվել քննչական ենթակայության</w:t>
      </w:r>
      <w:r w:rsidR="0062371B" w:rsidRPr="003A665A">
        <w:rPr>
          <w:rFonts w:ascii="GHEA Grapalat" w:eastAsia="GHEA Grapalat" w:hAnsi="GHEA Grapalat" w:cs="GHEA Grapalat"/>
          <w:sz w:val="24"/>
          <w:szCs w:val="24"/>
          <w:lang w:val="hy-AM"/>
        </w:rPr>
        <w:t xml:space="preserve"> կանոնը: Դրանից բացի</w:t>
      </w:r>
      <w:r w:rsidR="009030D2">
        <w:rPr>
          <w:rFonts w:ascii="GHEA Grapalat" w:eastAsia="GHEA Grapalat" w:hAnsi="GHEA Grapalat" w:cs="GHEA Grapalat"/>
          <w:sz w:val="24"/>
          <w:szCs w:val="24"/>
          <w:lang w:val="hy-AM"/>
        </w:rPr>
        <w:t>,</w:t>
      </w:r>
      <w:r w:rsidR="0062371B" w:rsidRPr="003A665A">
        <w:rPr>
          <w:rFonts w:ascii="GHEA Grapalat" w:eastAsia="GHEA Grapalat" w:hAnsi="GHEA Grapalat" w:cs="GHEA Grapalat"/>
          <w:sz w:val="24"/>
          <w:szCs w:val="24"/>
          <w:lang w:val="hy-AM"/>
        </w:rPr>
        <w:t xml:space="preserve"> վերոհիշյալ փոփոխությունը պահպանվեց նաև </w:t>
      </w:r>
      <w:r w:rsidR="009030D2">
        <w:rPr>
          <w:rFonts w:ascii="GHEA Grapalat" w:hAnsi="GHEA Grapalat"/>
          <w:color w:val="000000"/>
          <w:sz w:val="24"/>
          <w:szCs w:val="24"/>
          <w:lang w:val="hy-AM"/>
        </w:rPr>
        <w:t xml:space="preserve">Նոր </w:t>
      </w:r>
      <w:r w:rsidR="0062371B" w:rsidRPr="003A665A">
        <w:rPr>
          <w:rFonts w:ascii="GHEA Grapalat" w:hAnsi="GHEA Grapalat"/>
          <w:color w:val="000000"/>
          <w:sz w:val="24"/>
          <w:szCs w:val="24"/>
          <w:lang w:val="hy-AM"/>
        </w:rPr>
        <w:t>օրենսգրքի 483-ր</w:t>
      </w:r>
      <w:r w:rsidR="0062371B" w:rsidRPr="007F090B">
        <w:rPr>
          <w:rFonts w:ascii="GHEA Grapalat" w:hAnsi="GHEA Grapalat"/>
          <w:color w:val="000000"/>
          <w:sz w:val="24"/>
          <w:szCs w:val="24"/>
          <w:lang w:val="hy-AM"/>
        </w:rPr>
        <w:t>դ հոդվածի</w:t>
      </w:r>
      <w:r w:rsidR="0055343C" w:rsidRPr="003A665A">
        <w:rPr>
          <w:rFonts w:ascii="GHEA Grapalat" w:hAnsi="GHEA Grapalat"/>
          <w:color w:val="000000"/>
          <w:sz w:val="24"/>
          <w:szCs w:val="24"/>
          <w:lang w:val="hy-AM"/>
        </w:rPr>
        <w:t xml:space="preserve"> 16-ի մասով, որի գործողության ժամկետը նախատեսվել է մինչև 2023 թվականի հունվարի 1-ը: Իսկ </w:t>
      </w:r>
      <w:r w:rsidR="0055343C" w:rsidRPr="007F090B">
        <w:rPr>
          <w:rFonts w:ascii="GHEA Grapalat" w:eastAsia="GHEA Grapalat" w:hAnsi="GHEA Grapalat" w:cs="GHEA Grapalat"/>
          <w:sz w:val="24"/>
          <w:szCs w:val="24"/>
          <w:lang w:val="hy-AM"/>
        </w:rPr>
        <w:t>2023 թվականի հունվարի 1-ից</w:t>
      </w:r>
      <w:r w:rsidR="00DA1BB1" w:rsidRPr="003A665A">
        <w:rPr>
          <w:rFonts w:ascii="GHEA Grapalat" w:eastAsia="GHEA Grapalat" w:hAnsi="GHEA Grapalat" w:cs="GHEA Grapalat"/>
          <w:sz w:val="24"/>
          <w:szCs w:val="24"/>
          <w:lang w:val="hy-AM"/>
        </w:rPr>
        <w:t xml:space="preserve"> հետո </w:t>
      </w:r>
      <w:r w:rsidR="009030D2">
        <w:rPr>
          <w:rFonts w:ascii="GHEA Grapalat" w:eastAsia="GHEA Grapalat" w:hAnsi="GHEA Grapalat" w:cs="GHEA Grapalat"/>
          <w:sz w:val="24"/>
          <w:szCs w:val="24"/>
          <w:lang w:val="hy-AM"/>
        </w:rPr>
        <w:t>գ</w:t>
      </w:r>
      <w:r w:rsidR="003A665A">
        <w:rPr>
          <w:rFonts w:ascii="GHEA Grapalat" w:eastAsia="GHEA Grapalat" w:hAnsi="GHEA Grapalat" w:cs="GHEA Grapalat"/>
          <w:sz w:val="24"/>
          <w:szCs w:val="24"/>
          <w:lang w:val="hy-AM"/>
        </w:rPr>
        <w:t>ործող</w:t>
      </w:r>
      <w:r w:rsidR="00DA1BB1" w:rsidRPr="003A665A">
        <w:rPr>
          <w:rFonts w:ascii="GHEA Grapalat" w:eastAsia="GHEA Grapalat" w:hAnsi="GHEA Grapalat" w:cs="GHEA Grapalat"/>
          <w:sz w:val="24"/>
          <w:szCs w:val="24"/>
          <w:lang w:val="hy-AM"/>
        </w:rPr>
        <w:t xml:space="preserve"> օրենսգրքով </w:t>
      </w:r>
      <w:r w:rsidR="001842AF" w:rsidRPr="003A665A">
        <w:rPr>
          <w:rFonts w:ascii="GHEA Grapalat" w:eastAsia="GHEA Grapalat" w:hAnsi="GHEA Grapalat" w:cs="GHEA Grapalat"/>
          <w:sz w:val="24"/>
          <w:szCs w:val="24"/>
          <w:lang w:val="hy-AM"/>
        </w:rPr>
        <w:t xml:space="preserve">նախատեսվում է, որ ՀՀ ողջ տարածքում </w:t>
      </w:r>
      <w:r w:rsidR="001842AF" w:rsidRPr="007F090B">
        <w:rPr>
          <w:rFonts w:ascii="GHEA Grapalat" w:eastAsia="GHEA Grapalat" w:hAnsi="GHEA Grapalat" w:cs="GHEA Grapalat"/>
          <w:sz w:val="24"/>
          <w:szCs w:val="24"/>
          <w:lang w:val="hy-AM"/>
        </w:rPr>
        <w:t>կոռուպցիոն հանցանքների վերաբերյալ վարույթներով</w:t>
      </w:r>
      <w:r w:rsidR="001842AF" w:rsidRPr="003A665A">
        <w:rPr>
          <w:rFonts w:ascii="GHEA Grapalat" w:eastAsia="GHEA Grapalat" w:hAnsi="GHEA Grapalat" w:cs="GHEA Grapalat"/>
          <w:sz w:val="24"/>
          <w:szCs w:val="24"/>
          <w:lang w:val="hy-AM"/>
        </w:rPr>
        <w:t xml:space="preserve"> նախաքննությունը </w:t>
      </w:r>
      <w:r w:rsidR="003A665A">
        <w:rPr>
          <w:rFonts w:ascii="GHEA Grapalat" w:eastAsia="GHEA Grapalat" w:hAnsi="GHEA Grapalat" w:cs="GHEA Grapalat"/>
          <w:sz w:val="24"/>
          <w:szCs w:val="24"/>
          <w:lang w:val="hy-AM"/>
        </w:rPr>
        <w:t xml:space="preserve">կրկին ամբողջությամբ </w:t>
      </w:r>
      <w:r w:rsidR="001842AF" w:rsidRPr="003A665A">
        <w:rPr>
          <w:rFonts w:ascii="GHEA Grapalat" w:eastAsia="GHEA Grapalat" w:hAnsi="GHEA Grapalat" w:cs="GHEA Grapalat"/>
          <w:sz w:val="24"/>
          <w:szCs w:val="24"/>
          <w:lang w:val="hy-AM"/>
        </w:rPr>
        <w:t>վերապահվելու է Կոմիտեին</w:t>
      </w:r>
      <w:r w:rsidR="009030D2">
        <w:rPr>
          <w:rFonts w:ascii="GHEA Grapalat" w:eastAsia="GHEA Grapalat" w:hAnsi="GHEA Grapalat" w:cs="GHEA Grapalat"/>
          <w:sz w:val="24"/>
          <w:szCs w:val="24"/>
          <w:lang w:val="hy-AM"/>
        </w:rPr>
        <w:t>,</w:t>
      </w:r>
      <w:r w:rsidR="001842AF" w:rsidRPr="003A665A">
        <w:rPr>
          <w:rFonts w:ascii="GHEA Grapalat" w:eastAsia="GHEA Grapalat" w:hAnsi="GHEA Grapalat" w:cs="GHEA Grapalat"/>
          <w:sz w:val="24"/>
          <w:szCs w:val="24"/>
          <w:lang w:val="hy-AM"/>
        </w:rPr>
        <w:t xml:space="preserve"> </w:t>
      </w:r>
      <w:r w:rsidR="009030D2">
        <w:rPr>
          <w:rFonts w:ascii="GHEA Grapalat" w:eastAsia="GHEA Grapalat" w:hAnsi="GHEA Grapalat" w:cs="GHEA Grapalat"/>
          <w:sz w:val="24"/>
          <w:szCs w:val="24"/>
          <w:lang w:val="hy-AM"/>
        </w:rPr>
        <w:t>ի</w:t>
      </w:r>
      <w:r w:rsidR="001842AF" w:rsidRPr="003A665A">
        <w:rPr>
          <w:rFonts w:ascii="GHEA Grapalat" w:eastAsia="GHEA Grapalat" w:hAnsi="GHEA Grapalat" w:cs="GHEA Grapalat"/>
          <w:sz w:val="24"/>
          <w:szCs w:val="24"/>
          <w:lang w:val="hy-AM"/>
        </w:rPr>
        <w:t xml:space="preserve">նչից ենթադրելի է, որ մինչև 2023 </w:t>
      </w:r>
      <w:r w:rsidR="00731133" w:rsidRPr="003A665A">
        <w:rPr>
          <w:rFonts w:ascii="GHEA Grapalat" w:eastAsia="GHEA Grapalat" w:hAnsi="GHEA Grapalat" w:cs="GHEA Grapalat"/>
          <w:sz w:val="24"/>
          <w:szCs w:val="24"/>
          <w:lang w:val="hy-AM"/>
        </w:rPr>
        <w:t>թվականն</w:t>
      </w:r>
      <w:r w:rsidR="001842AF" w:rsidRPr="003A665A">
        <w:rPr>
          <w:rFonts w:ascii="GHEA Grapalat" w:eastAsia="GHEA Grapalat" w:hAnsi="GHEA Grapalat" w:cs="GHEA Grapalat"/>
          <w:sz w:val="24"/>
          <w:szCs w:val="24"/>
          <w:lang w:val="hy-AM"/>
        </w:rPr>
        <w:t xml:space="preserve"> արդեն հարուցված գործերը կամ նախաձեռնված վարույթները փոխանցվելու են ՀՀ հակակոռուպցիոն կոմիտեին</w:t>
      </w:r>
      <w:r w:rsidR="00BB76F9" w:rsidRPr="003A665A">
        <w:rPr>
          <w:rFonts w:ascii="GHEA Grapalat" w:eastAsia="GHEA Grapalat" w:hAnsi="GHEA Grapalat" w:cs="GHEA Grapalat"/>
          <w:sz w:val="24"/>
          <w:szCs w:val="24"/>
          <w:lang w:val="hy-AM"/>
        </w:rPr>
        <w:t>:</w:t>
      </w:r>
      <w:r w:rsidR="001842AF" w:rsidRPr="003A665A">
        <w:rPr>
          <w:rFonts w:ascii="GHEA Grapalat" w:eastAsia="GHEA Grapalat" w:hAnsi="GHEA Grapalat" w:cs="GHEA Grapalat"/>
          <w:sz w:val="24"/>
          <w:szCs w:val="24"/>
          <w:lang w:val="hy-AM"/>
        </w:rPr>
        <w:t xml:space="preserve"> Այսինքն՝ խոսքն այն գործերի կամ վարույթների մասին է, որոնք </w:t>
      </w:r>
      <w:r w:rsidR="00D06ED6">
        <w:rPr>
          <w:rFonts w:ascii="GHEA Grapalat" w:eastAsia="GHEA Grapalat" w:hAnsi="GHEA Grapalat" w:cs="GHEA Grapalat"/>
          <w:sz w:val="24"/>
          <w:szCs w:val="24"/>
          <w:lang w:val="hy-AM"/>
        </w:rPr>
        <w:t>հին</w:t>
      </w:r>
      <w:r w:rsidR="00BB76F9" w:rsidRPr="003A665A">
        <w:rPr>
          <w:rFonts w:ascii="GHEA Grapalat" w:eastAsia="GHEA Grapalat" w:hAnsi="GHEA Grapalat" w:cs="GHEA Grapalat"/>
          <w:sz w:val="24"/>
          <w:szCs w:val="24"/>
          <w:lang w:val="hy-AM"/>
        </w:rPr>
        <w:t>օրենսգ</w:t>
      </w:r>
      <w:r w:rsidR="001842AF" w:rsidRPr="003A665A">
        <w:rPr>
          <w:rFonts w:ascii="GHEA Grapalat" w:eastAsia="GHEA Grapalat" w:hAnsi="GHEA Grapalat" w:cs="GHEA Grapalat"/>
          <w:sz w:val="24"/>
          <w:szCs w:val="24"/>
          <w:lang w:val="hy-AM"/>
        </w:rPr>
        <w:t>րքում 2022 թվականի մայիսի 25-ին թիվ ՀՕ-140-Ն օրենքով նախատեսված փոփոխություններով, ինչպես նաև Նոր օ</w:t>
      </w:r>
      <w:r w:rsidR="00BB76F9" w:rsidRPr="003A665A">
        <w:rPr>
          <w:rFonts w:ascii="GHEA Grapalat" w:eastAsia="GHEA Grapalat" w:hAnsi="GHEA Grapalat" w:cs="GHEA Grapalat"/>
          <w:sz w:val="24"/>
          <w:szCs w:val="24"/>
          <w:lang w:val="hy-AM"/>
        </w:rPr>
        <w:t xml:space="preserve">րենսգրքի </w:t>
      </w:r>
      <w:r w:rsidR="00BB76F9" w:rsidRPr="003A665A">
        <w:rPr>
          <w:rFonts w:ascii="GHEA Grapalat" w:hAnsi="GHEA Grapalat"/>
          <w:color w:val="000000"/>
          <w:sz w:val="24"/>
          <w:szCs w:val="24"/>
          <w:lang w:val="hy-AM"/>
        </w:rPr>
        <w:t>483-ր</w:t>
      </w:r>
      <w:r w:rsidR="00BB76F9" w:rsidRPr="007F090B">
        <w:rPr>
          <w:rFonts w:ascii="GHEA Grapalat" w:hAnsi="GHEA Grapalat"/>
          <w:color w:val="000000"/>
          <w:sz w:val="24"/>
          <w:szCs w:val="24"/>
          <w:lang w:val="hy-AM"/>
        </w:rPr>
        <w:t>դ հոդվածի</w:t>
      </w:r>
      <w:r w:rsidR="00BB76F9" w:rsidRPr="003A665A">
        <w:rPr>
          <w:rFonts w:ascii="GHEA Grapalat" w:hAnsi="GHEA Grapalat"/>
          <w:color w:val="000000"/>
          <w:sz w:val="24"/>
          <w:szCs w:val="24"/>
          <w:lang w:val="hy-AM"/>
        </w:rPr>
        <w:t xml:space="preserve"> 16-ի մասով վերապահվել էին նախաքննություն իրականացնող այլ մարմիններին: </w:t>
      </w:r>
    </w:p>
    <w:p w:rsidR="00415B60" w:rsidRPr="003A665A" w:rsidRDefault="00415B60" w:rsidP="00224EAD">
      <w:pPr>
        <w:spacing w:after="0" w:line="360" w:lineRule="auto"/>
        <w:ind w:firstLine="720"/>
        <w:jc w:val="both"/>
        <w:rPr>
          <w:rFonts w:ascii="GHEA Grapalat" w:eastAsia="GHEA Grapalat" w:hAnsi="GHEA Grapalat" w:cs="GHEA Grapalat"/>
          <w:sz w:val="24"/>
          <w:szCs w:val="24"/>
          <w:lang w:val="hy-AM"/>
        </w:rPr>
      </w:pPr>
      <w:r w:rsidRPr="003A665A">
        <w:rPr>
          <w:rFonts w:ascii="GHEA Grapalat" w:eastAsia="GHEA Grapalat" w:hAnsi="GHEA Grapalat" w:cs="GHEA Grapalat"/>
          <w:sz w:val="24"/>
          <w:szCs w:val="24"/>
          <w:lang w:val="hy-AM"/>
        </w:rPr>
        <w:t>Ուստի</w:t>
      </w:r>
      <w:r w:rsidR="003A665A">
        <w:rPr>
          <w:rFonts w:ascii="GHEA Grapalat" w:eastAsia="GHEA Grapalat" w:hAnsi="GHEA Grapalat" w:cs="GHEA Grapalat"/>
          <w:sz w:val="24"/>
          <w:szCs w:val="24"/>
          <w:lang w:val="hy-AM"/>
        </w:rPr>
        <w:t xml:space="preserve">՝ </w:t>
      </w:r>
      <w:r w:rsidRPr="003A665A">
        <w:rPr>
          <w:rFonts w:ascii="GHEA Grapalat" w:eastAsia="GHEA Grapalat" w:hAnsi="GHEA Grapalat" w:cs="GHEA Grapalat"/>
          <w:sz w:val="24"/>
          <w:szCs w:val="24"/>
          <w:lang w:val="hy-AM"/>
        </w:rPr>
        <w:t>առկա է իրական վտանգ, որ Հակակոռուպցիոն կոմիտեում ինքնավար պաշտոն զբաղեցնող անձանց ռեսուրսը բավարար չի լինելու նման մեծ ծավալով գործերի քննություն</w:t>
      </w:r>
      <w:r w:rsidR="00A81BAA" w:rsidRPr="007F090B">
        <w:rPr>
          <w:rFonts w:ascii="GHEA Grapalat" w:eastAsia="GHEA Grapalat" w:hAnsi="GHEA Grapalat" w:cs="GHEA Grapalat"/>
          <w:sz w:val="24"/>
          <w:szCs w:val="24"/>
          <w:lang w:val="hy-AM"/>
        </w:rPr>
        <w:t>ը 2023 թվականի հունվարի 1-ից</w:t>
      </w:r>
      <w:r w:rsidRPr="003A665A">
        <w:rPr>
          <w:rFonts w:ascii="GHEA Grapalat" w:eastAsia="GHEA Grapalat" w:hAnsi="GHEA Grapalat" w:cs="GHEA Grapalat"/>
          <w:sz w:val="24"/>
          <w:szCs w:val="24"/>
          <w:lang w:val="hy-AM"/>
        </w:rPr>
        <w:t xml:space="preserve"> իրականացնելու համար, ինչը թերևս անկասկած անդրադառնալու է ինչպես գործերի քննության որակի, այնպես էլ ողջամիտ ժամկետի հիմնարար սկզբունքի պահպանման վրա:</w:t>
      </w:r>
    </w:p>
    <w:p w:rsidR="00415B60" w:rsidRPr="00303D5F" w:rsidRDefault="00415B60" w:rsidP="00224EAD">
      <w:pPr>
        <w:spacing w:after="0" w:line="360" w:lineRule="auto"/>
        <w:ind w:firstLine="720"/>
        <w:jc w:val="both"/>
        <w:rPr>
          <w:rFonts w:ascii="GHEA Grapalat" w:eastAsia="GHEA Grapalat" w:hAnsi="GHEA Grapalat" w:cs="GHEA Grapalat"/>
          <w:sz w:val="24"/>
          <w:szCs w:val="24"/>
          <w:lang w:val="hy-AM"/>
        </w:rPr>
      </w:pPr>
      <w:r w:rsidRPr="00303D5F">
        <w:rPr>
          <w:rFonts w:ascii="GHEA Grapalat" w:eastAsia="GHEA Grapalat" w:hAnsi="GHEA Grapalat" w:cs="GHEA Grapalat"/>
          <w:sz w:val="24"/>
          <w:szCs w:val="24"/>
          <w:lang w:val="hy-AM"/>
        </w:rPr>
        <w:t xml:space="preserve">Մարդու իրավունքների Եվրոպական դատարանը ողջամիտ ժամկետի պահպանման պահանջի վերաբերյալ արտահայտել է հետևյալ իրավական դիրքորոշումները. </w:t>
      </w:r>
    </w:p>
    <w:p w:rsidR="00415B60" w:rsidRPr="00303D5F" w:rsidRDefault="00415B60" w:rsidP="00A27011">
      <w:pPr>
        <w:numPr>
          <w:ilvl w:val="0"/>
          <w:numId w:val="2"/>
        </w:numPr>
        <w:tabs>
          <w:tab w:val="left" w:pos="1134"/>
        </w:tabs>
        <w:spacing w:after="0" w:line="360" w:lineRule="auto"/>
        <w:ind w:left="0" w:firstLine="720"/>
        <w:jc w:val="both"/>
        <w:rPr>
          <w:rFonts w:ascii="GHEA Grapalat" w:eastAsia="GHEA Grapalat" w:hAnsi="GHEA Grapalat" w:cs="GHEA Grapalat"/>
          <w:sz w:val="24"/>
          <w:szCs w:val="24"/>
          <w:lang w:val="hy-AM"/>
        </w:rPr>
      </w:pPr>
      <w:r w:rsidRPr="00303D5F">
        <w:rPr>
          <w:rFonts w:ascii="GHEA Grapalat" w:eastAsia="GHEA Grapalat" w:hAnsi="GHEA Grapalat" w:cs="GHEA Grapalat"/>
          <w:sz w:val="24"/>
          <w:szCs w:val="24"/>
          <w:lang w:val="hy-AM"/>
        </w:rPr>
        <w:lastRenderedPageBreak/>
        <w:t>մինչ տարբեր ձգձգումներն ինքնին հարցեր չեն առաջացնում, դրանք միասին վերցրած և հանրագումարային առումով կարող են դառնալ ողջամիտ ժամկետը գերազանցելու պատճառ</w:t>
      </w:r>
      <w:r w:rsidRPr="007F090B">
        <w:rPr>
          <w:rFonts w:ascii="GHEA Grapalat" w:eastAsia="GHEA Grapalat" w:hAnsi="GHEA Grapalat" w:cs="GHEA Grapalat"/>
          <w:sz w:val="24"/>
          <w:szCs w:val="24"/>
          <w:vertAlign w:val="superscript"/>
        </w:rPr>
        <w:footnoteReference w:id="1"/>
      </w:r>
      <w:r w:rsidRPr="00303D5F">
        <w:rPr>
          <w:rFonts w:ascii="GHEA Grapalat" w:eastAsia="GHEA Grapalat" w:hAnsi="GHEA Grapalat" w:cs="GHEA Grapalat"/>
          <w:sz w:val="24"/>
          <w:szCs w:val="24"/>
          <w:lang w:val="hy-AM"/>
        </w:rPr>
        <w:t xml:space="preserve">, </w:t>
      </w:r>
    </w:p>
    <w:p w:rsidR="00415B60" w:rsidRPr="007F090B" w:rsidRDefault="00415B60" w:rsidP="00A27011">
      <w:pPr>
        <w:numPr>
          <w:ilvl w:val="0"/>
          <w:numId w:val="2"/>
        </w:numPr>
        <w:tabs>
          <w:tab w:val="left" w:pos="1134"/>
        </w:tabs>
        <w:spacing w:after="0" w:line="360" w:lineRule="auto"/>
        <w:ind w:left="0" w:firstLine="720"/>
        <w:jc w:val="both"/>
        <w:rPr>
          <w:rFonts w:ascii="GHEA Grapalat" w:eastAsia="GHEA Grapalat" w:hAnsi="GHEA Grapalat" w:cs="GHEA Grapalat"/>
          <w:sz w:val="24"/>
          <w:szCs w:val="24"/>
        </w:rPr>
      </w:pPr>
      <w:r w:rsidRPr="00303D5F">
        <w:rPr>
          <w:rFonts w:ascii="GHEA Grapalat" w:eastAsia="GHEA Grapalat" w:hAnsi="GHEA Grapalat" w:cs="GHEA Grapalat"/>
          <w:sz w:val="24"/>
          <w:szCs w:val="24"/>
          <w:lang w:val="hy-AM"/>
        </w:rPr>
        <w:t xml:space="preserve">«Երկարատև ժամանակահատվածը, որի ընթացքում վարույթը...դանդաղում է...» </w:t>
      </w:r>
      <w:r w:rsidRPr="007F090B">
        <w:rPr>
          <w:rFonts w:ascii="GHEA Grapalat" w:eastAsia="GHEA Grapalat" w:hAnsi="GHEA Grapalat" w:cs="GHEA Grapalat"/>
          <w:sz w:val="24"/>
          <w:szCs w:val="24"/>
        </w:rPr>
        <w:t>առանց ակնկալվող որևէ բացատրության, անընդունելի է</w:t>
      </w:r>
      <w:r w:rsidRPr="007F090B">
        <w:rPr>
          <w:rFonts w:ascii="GHEA Grapalat" w:eastAsia="GHEA Grapalat" w:hAnsi="GHEA Grapalat" w:cs="GHEA Grapalat"/>
          <w:sz w:val="24"/>
          <w:szCs w:val="24"/>
          <w:vertAlign w:val="superscript"/>
        </w:rPr>
        <w:footnoteReference w:id="2"/>
      </w:r>
      <w:r w:rsidRPr="007F090B">
        <w:rPr>
          <w:rFonts w:ascii="GHEA Grapalat" w:eastAsia="GHEA Grapalat" w:hAnsi="GHEA Grapalat" w:cs="GHEA Grapalat"/>
          <w:sz w:val="24"/>
          <w:szCs w:val="24"/>
        </w:rPr>
        <w:t>,</w:t>
      </w:r>
    </w:p>
    <w:p w:rsidR="00415B60" w:rsidRPr="007F090B" w:rsidRDefault="00415B60" w:rsidP="00A27011">
      <w:pPr>
        <w:numPr>
          <w:ilvl w:val="0"/>
          <w:numId w:val="2"/>
        </w:numPr>
        <w:tabs>
          <w:tab w:val="left" w:pos="1134"/>
        </w:tabs>
        <w:spacing w:after="0" w:line="360" w:lineRule="auto"/>
        <w:ind w:left="0" w:firstLine="720"/>
        <w:jc w:val="both"/>
        <w:rPr>
          <w:rFonts w:ascii="GHEA Grapalat" w:eastAsia="GHEA Grapalat" w:hAnsi="GHEA Grapalat" w:cs="GHEA Grapalat"/>
          <w:sz w:val="24"/>
          <w:szCs w:val="24"/>
        </w:rPr>
      </w:pPr>
      <w:r w:rsidRPr="007F090B">
        <w:rPr>
          <w:rFonts w:ascii="GHEA Grapalat" w:eastAsia="GHEA Grapalat" w:hAnsi="GHEA Grapalat" w:cs="GHEA Grapalat"/>
          <w:sz w:val="24"/>
          <w:szCs w:val="24"/>
        </w:rPr>
        <w:t>Վարույթի որոշակի փուլում ձգձգումը կարող է թույլատրելի լինել՝ պայմանով, որ վարույթի ընդհանուր տևողությունը չափազանց երկար չլինի</w:t>
      </w:r>
      <w:r w:rsidRPr="007F090B">
        <w:rPr>
          <w:rFonts w:ascii="GHEA Grapalat" w:eastAsia="GHEA Grapalat" w:hAnsi="GHEA Grapalat" w:cs="GHEA Grapalat"/>
          <w:sz w:val="24"/>
          <w:szCs w:val="24"/>
          <w:vertAlign w:val="superscript"/>
        </w:rPr>
        <w:footnoteReference w:id="3"/>
      </w:r>
      <w:r w:rsidRPr="007F090B">
        <w:rPr>
          <w:rFonts w:ascii="GHEA Grapalat" w:eastAsia="GHEA Grapalat" w:hAnsi="GHEA Grapalat" w:cs="GHEA Grapalat"/>
          <w:sz w:val="24"/>
          <w:szCs w:val="24"/>
        </w:rPr>
        <w:t>,</w:t>
      </w:r>
    </w:p>
    <w:p w:rsidR="00415B60" w:rsidRPr="007F090B" w:rsidRDefault="00415B60" w:rsidP="00A27011">
      <w:pPr>
        <w:numPr>
          <w:ilvl w:val="0"/>
          <w:numId w:val="2"/>
        </w:numPr>
        <w:tabs>
          <w:tab w:val="left" w:pos="1134"/>
        </w:tabs>
        <w:spacing w:after="0" w:line="360" w:lineRule="auto"/>
        <w:ind w:left="0" w:firstLine="720"/>
        <w:jc w:val="both"/>
        <w:rPr>
          <w:rFonts w:ascii="GHEA Grapalat" w:eastAsia="GHEA Grapalat" w:hAnsi="GHEA Grapalat" w:cs="GHEA Grapalat"/>
          <w:sz w:val="24"/>
          <w:szCs w:val="24"/>
        </w:rPr>
      </w:pPr>
      <w:r w:rsidRPr="007F090B">
        <w:rPr>
          <w:rFonts w:ascii="GHEA Grapalat" w:eastAsia="GHEA Grapalat" w:hAnsi="GHEA Grapalat" w:cs="GHEA Grapalat"/>
          <w:sz w:val="24"/>
          <w:szCs w:val="24"/>
        </w:rPr>
        <w:t>Վարույթի տևողության ողջամտությունը պետք է գնահատվի հետևյալ չափանիշների լույսի ներքո` գործի բարդություն, դիմումատուի և իրավապահ մարմինների դրսևորած վարքագիծ և այլն</w:t>
      </w:r>
      <w:r w:rsidRPr="007F090B">
        <w:rPr>
          <w:rFonts w:ascii="GHEA Grapalat" w:eastAsia="GHEA Grapalat" w:hAnsi="GHEA Grapalat" w:cs="GHEA Grapalat"/>
          <w:sz w:val="24"/>
          <w:szCs w:val="24"/>
          <w:vertAlign w:val="superscript"/>
        </w:rPr>
        <w:footnoteReference w:id="4"/>
      </w:r>
      <w:r w:rsidRPr="007F090B">
        <w:rPr>
          <w:rFonts w:ascii="GHEA Grapalat" w:eastAsia="GHEA Grapalat" w:hAnsi="GHEA Grapalat" w:cs="GHEA Grapalat"/>
          <w:sz w:val="24"/>
          <w:szCs w:val="24"/>
        </w:rPr>
        <w:t>,</w:t>
      </w:r>
    </w:p>
    <w:p w:rsidR="00415B60" w:rsidRPr="007F090B" w:rsidRDefault="00415B60" w:rsidP="00A27011">
      <w:pPr>
        <w:numPr>
          <w:ilvl w:val="0"/>
          <w:numId w:val="2"/>
        </w:numPr>
        <w:tabs>
          <w:tab w:val="left" w:pos="1134"/>
        </w:tabs>
        <w:spacing w:after="0" w:line="360" w:lineRule="auto"/>
        <w:ind w:left="0" w:firstLine="720"/>
        <w:jc w:val="both"/>
        <w:rPr>
          <w:rFonts w:ascii="GHEA Grapalat" w:eastAsia="GHEA Grapalat" w:hAnsi="GHEA Grapalat" w:cs="GHEA Grapalat"/>
          <w:sz w:val="24"/>
          <w:szCs w:val="24"/>
        </w:rPr>
      </w:pPr>
      <w:r w:rsidRPr="007F090B">
        <w:rPr>
          <w:rFonts w:ascii="GHEA Grapalat" w:eastAsia="GHEA Grapalat" w:hAnsi="GHEA Grapalat" w:cs="GHEA Grapalat"/>
          <w:sz w:val="24"/>
          <w:szCs w:val="24"/>
        </w:rPr>
        <w:t xml:space="preserve"> Գործի բարդությունը կարող է կապված լինել և՛ փաստերի հիմքով, և՛ օրենքի հիմքով բարձրացվող հարցերի հետ</w:t>
      </w:r>
      <w:r w:rsidRPr="007F090B">
        <w:rPr>
          <w:rFonts w:ascii="GHEA Grapalat" w:eastAsia="GHEA Grapalat" w:hAnsi="GHEA Grapalat" w:cs="GHEA Grapalat"/>
          <w:sz w:val="24"/>
          <w:szCs w:val="24"/>
          <w:vertAlign w:val="superscript"/>
        </w:rPr>
        <w:footnoteReference w:id="5"/>
      </w:r>
      <w:r w:rsidRPr="007F090B">
        <w:rPr>
          <w:rFonts w:ascii="GHEA Grapalat" w:eastAsia="GHEA Grapalat" w:hAnsi="GHEA Grapalat" w:cs="GHEA Grapalat"/>
          <w:sz w:val="24"/>
          <w:szCs w:val="24"/>
        </w:rPr>
        <w:t>,</w:t>
      </w:r>
    </w:p>
    <w:p w:rsidR="00415B60" w:rsidRPr="007F090B" w:rsidRDefault="00415B60" w:rsidP="00A27011">
      <w:pPr>
        <w:numPr>
          <w:ilvl w:val="0"/>
          <w:numId w:val="2"/>
        </w:numPr>
        <w:tabs>
          <w:tab w:val="left" w:pos="1134"/>
        </w:tabs>
        <w:spacing w:after="0" w:line="360" w:lineRule="auto"/>
        <w:ind w:left="0" w:firstLine="720"/>
        <w:jc w:val="both"/>
        <w:rPr>
          <w:rFonts w:ascii="GHEA Grapalat" w:eastAsia="GHEA Grapalat" w:hAnsi="GHEA Grapalat" w:cs="GHEA Grapalat"/>
          <w:sz w:val="24"/>
          <w:szCs w:val="24"/>
        </w:rPr>
      </w:pPr>
      <w:r w:rsidRPr="007F090B">
        <w:rPr>
          <w:rFonts w:ascii="GHEA Grapalat" w:eastAsia="GHEA Grapalat" w:hAnsi="GHEA Grapalat" w:cs="GHEA Grapalat"/>
          <w:sz w:val="24"/>
          <w:szCs w:val="24"/>
        </w:rPr>
        <w:t>Պետությունը պատասխանատու է իր բոլոր մարմինների համար՝ ոչ միայն դատական մարմինների, այլև բոլոր հասարակական հաստատությունների համար</w:t>
      </w:r>
      <w:r w:rsidRPr="007F090B">
        <w:rPr>
          <w:rFonts w:ascii="GHEA Grapalat" w:eastAsia="GHEA Grapalat" w:hAnsi="GHEA Grapalat" w:cs="GHEA Grapalat"/>
          <w:sz w:val="24"/>
          <w:szCs w:val="24"/>
          <w:vertAlign w:val="superscript"/>
        </w:rPr>
        <w:footnoteReference w:id="6"/>
      </w:r>
      <w:r w:rsidRPr="007F090B">
        <w:rPr>
          <w:rFonts w:ascii="GHEA Grapalat" w:eastAsia="GHEA Grapalat" w:hAnsi="GHEA Grapalat" w:cs="GHEA Grapalat"/>
          <w:sz w:val="24"/>
          <w:szCs w:val="24"/>
        </w:rPr>
        <w:t>:</w:t>
      </w:r>
    </w:p>
    <w:p w:rsidR="00415B60" w:rsidRPr="007F090B" w:rsidRDefault="00415B60" w:rsidP="00224EAD">
      <w:pPr>
        <w:spacing w:after="0" w:line="360" w:lineRule="auto"/>
        <w:ind w:firstLine="720"/>
        <w:jc w:val="both"/>
        <w:rPr>
          <w:rFonts w:ascii="GHEA Grapalat" w:eastAsia="GHEA Grapalat" w:hAnsi="GHEA Grapalat" w:cs="GHEA Grapalat"/>
          <w:sz w:val="24"/>
          <w:szCs w:val="24"/>
        </w:rPr>
      </w:pPr>
      <w:r w:rsidRPr="007F090B">
        <w:rPr>
          <w:rFonts w:ascii="GHEA Grapalat" w:eastAsia="GHEA Grapalat" w:hAnsi="GHEA Grapalat" w:cs="GHEA Grapalat"/>
          <w:sz w:val="24"/>
          <w:szCs w:val="24"/>
        </w:rPr>
        <w:t xml:space="preserve">ՄԻԵԴ վերոհիշյալ դիրքորոշումների լույսի ներքո կարելի է արձանագրել, որ ողջամիտ ժամկետում գործի քննություն չապահովելը խախտում է </w:t>
      </w:r>
      <w:r w:rsidR="00BA512C" w:rsidRPr="007F090B">
        <w:rPr>
          <w:rFonts w:ascii="GHEA Grapalat" w:eastAsia="GHEA Grapalat" w:hAnsi="GHEA Grapalat" w:cs="GHEA Grapalat"/>
          <w:sz w:val="24"/>
          <w:szCs w:val="24"/>
        </w:rPr>
        <w:t>«</w:t>
      </w:r>
      <w:r w:rsidRPr="007F090B">
        <w:rPr>
          <w:rFonts w:ascii="GHEA Grapalat" w:eastAsia="GHEA Grapalat" w:hAnsi="GHEA Grapalat" w:cs="GHEA Grapalat"/>
          <w:sz w:val="24"/>
          <w:szCs w:val="24"/>
        </w:rPr>
        <w:t>Մարդու իրավունքների և հիմնարար ազատությունների պաշտպանության մասին</w:t>
      </w:r>
      <w:r w:rsidR="00BA512C" w:rsidRPr="007F090B">
        <w:rPr>
          <w:rFonts w:ascii="GHEA Grapalat" w:eastAsia="GHEA Grapalat" w:hAnsi="GHEA Grapalat" w:cs="GHEA Grapalat"/>
          <w:sz w:val="24"/>
          <w:szCs w:val="24"/>
        </w:rPr>
        <w:t>»</w:t>
      </w:r>
      <w:r w:rsidRPr="007F090B">
        <w:rPr>
          <w:rFonts w:ascii="GHEA Grapalat" w:eastAsia="GHEA Grapalat" w:hAnsi="GHEA Grapalat" w:cs="GHEA Grapalat"/>
          <w:sz w:val="24"/>
          <w:szCs w:val="24"/>
        </w:rPr>
        <w:t xml:space="preserve"> Եվրոպական կոնվենցիայի 6-րդ հոդվածով ամրագրված արդար դատաքննության իրավունքը:</w:t>
      </w:r>
    </w:p>
    <w:p w:rsidR="006A2274" w:rsidRPr="007F090B" w:rsidRDefault="00415B60" w:rsidP="00B50575">
      <w:pPr>
        <w:spacing w:after="0" w:line="360" w:lineRule="auto"/>
        <w:ind w:firstLine="720"/>
        <w:jc w:val="both"/>
        <w:rPr>
          <w:rFonts w:ascii="GHEA Grapalat" w:eastAsia="GHEA Grapalat" w:hAnsi="GHEA Grapalat" w:cs="GHEA Grapalat"/>
          <w:sz w:val="24"/>
          <w:szCs w:val="24"/>
        </w:rPr>
      </w:pPr>
      <w:r w:rsidRPr="007F090B">
        <w:rPr>
          <w:rFonts w:ascii="GHEA Grapalat" w:eastAsia="GHEA Grapalat" w:hAnsi="GHEA Grapalat" w:cs="GHEA Grapalat"/>
          <w:sz w:val="24"/>
          <w:szCs w:val="24"/>
        </w:rPr>
        <w:t>Ոչ միայն այդ, այլև պետությանը հասցված վնասի տեսանկյունից ևս բավականին կարևոր է հանցավոր ճանապարհով ձեռք բերված գումարների կարճ ժամկետներում վերադարձը, ինչը հնարավոր է իրականացնել միայն օպերատիվ քննության դեպքում, այլապես առավել մեծ է վտանգը, որ տվյալ ակտիվները հնարավոր է օտարվեն:</w:t>
      </w:r>
    </w:p>
    <w:p w:rsidR="006A2274" w:rsidRPr="007F090B" w:rsidRDefault="006A2274" w:rsidP="00A27011">
      <w:pPr>
        <w:spacing w:after="0" w:line="360" w:lineRule="auto"/>
        <w:ind w:firstLine="567"/>
        <w:jc w:val="both"/>
        <w:rPr>
          <w:rFonts w:ascii="GHEA Grapalat" w:hAnsi="GHEA Grapalat" w:cs="Times New Roman"/>
          <w:sz w:val="24"/>
          <w:szCs w:val="24"/>
        </w:rPr>
      </w:pPr>
      <w:r w:rsidRPr="007F090B">
        <w:rPr>
          <w:rFonts w:ascii="GHEA Grapalat" w:hAnsi="GHEA Grapalat"/>
          <w:sz w:val="24"/>
          <w:szCs w:val="24"/>
        </w:rPr>
        <w:lastRenderedPageBreak/>
        <w:t xml:space="preserve">Հարկ է նկատել, որ նշված գործերի քննությունը ներկայումս առկա 40 </w:t>
      </w:r>
      <w:r w:rsidRPr="00AC712C">
        <w:rPr>
          <w:rFonts w:ascii="GHEA Grapalat" w:hAnsi="GHEA Grapalat"/>
          <w:sz w:val="24"/>
          <w:szCs w:val="24"/>
        </w:rPr>
        <w:t xml:space="preserve">ինքնավար պաշտոն զբաղեցնող անձանց համար նախատեսված հաստիքներից փաստացի իրականացվում է 23 քննիչների կողմից: </w:t>
      </w:r>
      <w:r w:rsidR="001C1BA1" w:rsidRPr="00AC712C">
        <w:rPr>
          <w:rFonts w:ascii="GHEA Grapalat" w:hAnsi="GHEA Grapalat"/>
          <w:sz w:val="24"/>
          <w:szCs w:val="24"/>
        </w:rPr>
        <w:t>Վ</w:t>
      </w:r>
      <w:r w:rsidRPr="00AC712C">
        <w:rPr>
          <w:rFonts w:ascii="GHEA Grapalat" w:hAnsi="GHEA Grapalat"/>
          <w:sz w:val="24"/>
          <w:szCs w:val="24"/>
        </w:rPr>
        <w:t xml:space="preserve">իճակագրական տվյալների համաձայն՝ </w:t>
      </w:r>
      <w:r w:rsidR="00AC712C" w:rsidRPr="00AC712C">
        <w:rPr>
          <w:rFonts w:ascii="GHEA Grapalat" w:hAnsi="GHEA Grapalat"/>
          <w:sz w:val="24"/>
          <w:szCs w:val="24"/>
        </w:rPr>
        <w:t>12</w:t>
      </w:r>
      <w:r w:rsidRPr="00AC712C">
        <w:rPr>
          <w:rFonts w:ascii="GHEA Grapalat" w:hAnsi="GHEA Grapalat"/>
          <w:sz w:val="24"/>
          <w:szCs w:val="24"/>
        </w:rPr>
        <w:t xml:space="preserve"> ամսվա ընթացքում մոտ </w:t>
      </w:r>
      <w:r w:rsidR="00AC712C" w:rsidRPr="00AC712C">
        <w:rPr>
          <w:rFonts w:ascii="GHEA Grapalat" w:hAnsi="GHEA Grapalat"/>
          <w:sz w:val="24"/>
          <w:szCs w:val="24"/>
        </w:rPr>
        <w:t>47</w:t>
      </w:r>
      <w:r w:rsidRPr="00AC712C">
        <w:rPr>
          <w:rFonts w:ascii="GHEA Grapalat" w:hAnsi="GHEA Grapalat"/>
          <w:sz w:val="24"/>
          <w:szCs w:val="24"/>
        </w:rPr>
        <w:t xml:space="preserve"> գործ է բաժին ընկել յուրաքանչյուր քննիչի: </w:t>
      </w:r>
      <w:r w:rsidRPr="00AC712C">
        <w:rPr>
          <w:rFonts w:ascii="GHEA Grapalat" w:hAnsi="GHEA Grapalat"/>
          <w:b/>
          <w:i/>
          <w:sz w:val="24"/>
          <w:szCs w:val="24"/>
        </w:rPr>
        <w:t>Նշվածի հիման վրա կարելի է ենթադրել, որ յուրաքանչյուր քննիչի ծանրաբեռնվածությունը միջինում տարեկան կգերազանցի 40 գործը</w:t>
      </w:r>
      <w:r w:rsidRPr="00AC712C">
        <w:rPr>
          <w:rFonts w:ascii="GHEA Grapalat" w:hAnsi="GHEA Grapalat"/>
          <w:sz w:val="24"/>
          <w:szCs w:val="24"/>
        </w:rPr>
        <w:t xml:space="preserve">, որի պարագայում անիրատեսական է խոսել վարույթի արդյունավետ քննության մասին: </w:t>
      </w:r>
      <w:r w:rsidRPr="00AC712C">
        <w:rPr>
          <w:rFonts w:ascii="GHEA Grapalat" w:hAnsi="GHEA Grapalat" w:cs="Times New Roman"/>
          <w:bCs/>
          <w:sz w:val="24"/>
          <w:szCs w:val="24"/>
        </w:rPr>
        <w:t>Ենթադրյալ</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հանցագործությունների</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վերաբերյալ</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քրեական</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գործերի</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նախաքննությամբ</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Կոմիտեի</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քննիչներին</w:t>
      </w:r>
      <w:r w:rsidRPr="00AC712C">
        <w:rPr>
          <w:rFonts w:ascii="GHEA Grapalat" w:hAnsi="GHEA Grapalat" w:cs="Times New Roman"/>
          <w:sz w:val="24"/>
          <w:szCs w:val="24"/>
        </w:rPr>
        <w:t xml:space="preserve"> </w:t>
      </w:r>
      <w:r w:rsidR="003A665A" w:rsidRPr="00AC712C">
        <w:rPr>
          <w:rFonts w:ascii="GHEA Grapalat" w:hAnsi="GHEA Grapalat" w:cs="Times New Roman"/>
          <w:sz w:val="24"/>
          <w:szCs w:val="24"/>
          <w:lang w:val="hy-AM"/>
        </w:rPr>
        <w:t>գեր</w:t>
      </w:r>
      <w:r w:rsidRPr="00AC712C">
        <w:rPr>
          <w:rFonts w:ascii="GHEA Grapalat" w:hAnsi="GHEA Grapalat" w:cs="Times New Roman"/>
          <w:bCs/>
          <w:sz w:val="24"/>
          <w:szCs w:val="24"/>
        </w:rPr>
        <w:t>ծանրաբեռնելը</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լի</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է</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այլ՝</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առավել</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բարդ</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ծանր</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կոռուպցիոն</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բնույթի</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գործերով</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քննության</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որակի</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վրա</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բացասական</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ազդեցության</w:t>
      </w:r>
      <w:r w:rsidRPr="00AC712C">
        <w:rPr>
          <w:rFonts w:ascii="GHEA Grapalat" w:hAnsi="GHEA Grapalat" w:cs="Times New Roman"/>
          <w:sz w:val="24"/>
          <w:szCs w:val="24"/>
        </w:rPr>
        <w:t xml:space="preserve"> </w:t>
      </w:r>
      <w:r w:rsidRPr="00AC712C">
        <w:rPr>
          <w:rFonts w:ascii="GHEA Grapalat" w:hAnsi="GHEA Grapalat" w:cs="Times New Roman"/>
          <w:bCs/>
          <w:sz w:val="24"/>
          <w:szCs w:val="24"/>
        </w:rPr>
        <w:t>վտանգով</w:t>
      </w:r>
      <w:r w:rsidRPr="00AC712C">
        <w:rPr>
          <w:rFonts w:ascii="GHEA Grapalat" w:hAnsi="GHEA Grapalat" w:cs="Times New Roman"/>
          <w:sz w:val="24"/>
          <w:szCs w:val="24"/>
        </w:rPr>
        <w:t>:</w:t>
      </w:r>
    </w:p>
    <w:p w:rsidR="00415B60" w:rsidRPr="003A665A" w:rsidRDefault="00415B60"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rPr>
        <w:t xml:space="preserve">Այսպիսով՝ ՀՀ քրեական օրենսգրքի </w:t>
      </w:r>
      <w:r w:rsidR="009F2BF0" w:rsidRPr="007F090B">
        <w:rPr>
          <w:rFonts w:ascii="GHEA Grapalat" w:eastAsia="GHEA Grapalat" w:hAnsi="GHEA Grapalat" w:cs="GHEA Grapalat"/>
          <w:sz w:val="24"/>
          <w:szCs w:val="24"/>
        </w:rPr>
        <w:t>1-</w:t>
      </w:r>
      <w:r w:rsidR="009F2BF0" w:rsidRPr="007F090B">
        <w:rPr>
          <w:rFonts w:ascii="GHEA Grapalat" w:eastAsia="GHEA Grapalat" w:hAnsi="GHEA Grapalat" w:cs="GHEA Grapalat"/>
          <w:sz w:val="24"/>
          <w:szCs w:val="24"/>
          <w:lang w:val="hy-AM"/>
        </w:rPr>
        <w:t>ին</w:t>
      </w:r>
      <w:r w:rsidRPr="007F090B">
        <w:rPr>
          <w:rFonts w:ascii="GHEA Grapalat" w:eastAsia="GHEA Grapalat" w:hAnsi="GHEA Grapalat" w:cs="GHEA Grapalat"/>
          <w:sz w:val="24"/>
          <w:szCs w:val="24"/>
        </w:rPr>
        <w:t xml:space="preserve"> հավելվածով սահմանված կոռուպցիոն բնույթի բոլոր գործերի քննությունը </w:t>
      </w:r>
      <w:r w:rsidR="001C1BA1" w:rsidRPr="007F090B">
        <w:rPr>
          <w:rFonts w:ascii="GHEA Grapalat" w:eastAsia="GHEA Grapalat" w:hAnsi="GHEA Grapalat" w:cs="GHEA Grapalat"/>
          <w:sz w:val="24"/>
          <w:szCs w:val="24"/>
        </w:rPr>
        <w:t xml:space="preserve">2023 թվականի հունվարի 1-ից </w:t>
      </w:r>
      <w:r w:rsidRPr="007F090B">
        <w:rPr>
          <w:rFonts w:ascii="GHEA Grapalat" w:eastAsia="GHEA Grapalat" w:hAnsi="GHEA Grapalat" w:cs="GHEA Grapalat"/>
          <w:sz w:val="24"/>
          <w:szCs w:val="24"/>
        </w:rPr>
        <w:t>Կոմիտեին վերապահելը</w:t>
      </w:r>
      <w:r w:rsidR="00A81BAA" w:rsidRPr="007F090B">
        <w:rPr>
          <w:rFonts w:ascii="GHEA Grapalat" w:eastAsia="GHEA Grapalat" w:hAnsi="GHEA Grapalat" w:cs="GHEA Grapalat"/>
          <w:sz w:val="24"/>
          <w:szCs w:val="24"/>
          <w:lang w:val="hy-AM"/>
        </w:rPr>
        <w:t xml:space="preserve"> նման ռեսուրսի առկայության պայմաններում </w:t>
      </w:r>
      <w:r w:rsidR="003A665A">
        <w:rPr>
          <w:rFonts w:ascii="GHEA Grapalat" w:eastAsia="GHEA Grapalat" w:hAnsi="GHEA Grapalat" w:cs="GHEA Grapalat"/>
          <w:sz w:val="24"/>
          <w:szCs w:val="24"/>
          <w:lang w:val="hy-AM"/>
        </w:rPr>
        <w:t xml:space="preserve">արդեն իսկ </w:t>
      </w:r>
      <w:r w:rsidR="00A81BAA" w:rsidRPr="007F090B">
        <w:rPr>
          <w:rFonts w:ascii="GHEA Grapalat" w:eastAsia="GHEA Grapalat" w:hAnsi="GHEA Grapalat" w:cs="GHEA Grapalat"/>
          <w:sz w:val="24"/>
          <w:szCs w:val="24"/>
          <w:lang w:val="hy-AM"/>
        </w:rPr>
        <w:t>անհամաչափ է առաջարկվող գործերի թվային գերակշռության</w:t>
      </w:r>
      <w:r w:rsidR="001C1BA1" w:rsidRPr="007F090B">
        <w:rPr>
          <w:rFonts w:ascii="GHEA Grapalat" w:eastAsia="GHEA Grapalat" w:hAnsi="GHEA Grapalat" w:cs="GHEA Grapalat"/>
          <w:sz w:val="24"/>
          <w:szCs w:val="24"/>
        </w:rPr>
        <w:t>ը</w:t>
      </w:r>
      <w:r w:rsidR="00A81BAA" w:rsidRPr="007F090B">
        <w:rPr>
          <w:rFonts w:ascii="GHEA Grapalat" w:eastAsia="GHEA Grapalat" w:hAnsi="GHEA Grapalat" w:cs="GHEA Grapalat"/>
          <w:sz w:val="24"/>
          <w:szCs w:val="24"/>
          <w:lang w:val="hy-AM"/>
        </w:rPr>
        <w:t>, որովհետև</w:t>
      </w:r>
      <w:r w:rsidRPr="007F090B">
        <w:rPr>
          <w:rFonts w:ascii="GHEA Grapalat" w:eastAsia="GHEA Grapalat" w:hAnsi="GHEA Grapalat" w:cs="GHEA Grapalat"/>
          <w:sz w:val="24"/>
          <w:szCs w:val="24"/>
        </w:rPr>
        <w:t xml:space="preserve"> Կոմիտեն </w:t>
      </w:r>
      <w:r w:rsidR="008F03F5" w:rsidRPr="007F090B">
        <w:rPr>
          <w:rFonts w:ascii="GHEA Grapalat" w:eastAsia="GHEA Grapalat" w:hAnsi="GHEA Grapalat" w:cs="GHEA Grapalat"/>
          <w:sz w:val="24"/>
          <w:szCs w:val="24"/>
        </w:rPr>
        <w:t xml:space="preserve">ներկայումս </w:t>
      </w:r>
      <w:r w:rsidRPr="007F090B">
        <w:rPr>
          <w:rFonts w:ascii="GHEA Grapalat" w:eastAsia="GHEA Grapalat" w:hAnsi="GHEA Grapalat" w:cs="GHEA Grapalat"/>
          <w:sz w:val="24"/>
          <w:szCs w:val="24"/>
        </w:rPr>
        <w:t xml:space="preserve">չունի համապատասխան ռեսուրսներ նման ահռելի քանակությամբ քրեական գործերի քննությունն ապահովելու համար։ </w:t>
      </w:r>
      <w:r w:rsidR="003A665A">
        <w:rPr>
          <w:rFonts w:ascii="GHEA Grapalat" w:eastAsia="GHEA Grapalat" w:hAnsi="GHEA Grapalat" w:cs="GHEA Grapalat"/>
          <w:sz w:val="24"/>
          <w:szCs w:val="24"/>
          <w:lang w:val="hy-AM"/>
        </w:rPr>
        <w:t xml:space="preserve">Եթե այս վարույթներին էլ գումարվեն այն քրեական գործերն ու քրեական վարույթները, որոնք մինչև 2023 թվականի հունվարի 1-ը հարուցվել </w:t>
      </w:r>
      <w:r w:rsidR="003A665A">
        <w:rPr>
          <w:rFonts w:ascii="GHEA Grapalat" w:eastAsia="GHEA Grapalat" w:hAnsi="GHEA Grapalat" w:cs="GHEA Grapalat"/>
          <w:sz w:val="24"/>
          <w:szCs w:val="24"/>
        </w:rPr>
        <w:t>(</w:t>
      </w:r>
      <w:r w:rsidR="003A665A">
        <w:rPr>
          <w:rFonts w:ascii="GHEA Grapalat" w:eastAsia="GHEA Grapalat" w:hAnsi="GHEA Grapalat" w:cs="GHEA Grapalat"/>
          <w:sz w:val="24"/>
          <w:szCs w:val="24"/>
          <w:lang w:val="hy-AM"/>
        </w:rPr>
        <w:t>նախաձեռնվել</w:t>
      </w:r>
      <w:r w:rsidR="003A665A">
        <w:rPr>
          <w:rFonts w:ascii="GHEA Grapalat" w:eastAsia="GHEA Grapalat" w:hAnsi="GHEA Grapalat" w:cs="GHEA Grapalat"/>
          <w:sz w:val="24"/>
          <w:szCs w:val="24"/>
        </w:rPr>
        <w:t>)</w:t>
      </w:r>
      <w:r w:rsidR="003A665A">
        <w:rPr>
          <w:rFonts w:ascii="GHEA Grapalat" w:eastAsia="GHEA Grapalat" w:hAnsi="GHEA Grapalat" w:cs="GHEA Grapalat"/>
          <w:sz w:val="24"/>
          <w:szCs w:val="24"/>
          <w:lang w:val="hy-AM"/>
        </w:rPr>
        <w:t xml:space="preserve"> և քննվում են նախաքննական այլ մարմիններում, որոնք գործող դատավարական կարգավորումների համաձայն՝ պետք է փոխանցվեն ՀՀ հակակոռուպցիոն կոմիտեին, ապա իրավիճակն իրավամբ անկառավարելի կդառնա։ </w:t>
      </w:r>
    </w:p>
    <w:p w:rsidR="00415B60" w:rsidRPr="00303D5F" w:rsidRDefault="00415B60" w:rsidP="00224EAD">
      <w:pPr>
        <w:spacing w:after="0" w:line="360" w:lineRule="auto"/>
        <w:ind w:firstLine="720"/>
        <w:jc w:val="both"/>
        <w:rPr>
          <w:rFonts w:ascii="GHEA Grapalat" w:eastAsia="GHEA Grapalat" w:hAnsi="GHEA Grapalat" w:cs="GHEA Grapalat"/>
          <w:sz w:val="24"/>
          <w:szCs w:val="24"/>
          <w:lang w:val="hy-AM"/>
        </w:rPr>
      </w:pPr>
      <w:r w:rsidRPr="00303D5F">
        <w:rPr>
          <w:rFonts w:ascii="GHEA Grapalat" w:eastAsia="GHEA Grapalat" w:hAnsi="GHEA Grapalat" w:cs="GHEA Grapalat"/>
          <w:sz w:val="24"/>
          <w:szCs w:val="24"/>
          <w:lang w:val="hy-AM"/>
        </w:rPr>
        <w:t xml:space="preserve">Միաժամանակ պետք է նշել, որ 1989 թվականին Փարիզում հիմնադրված «Փողերի լվացման դեմ պայքարի ֆինանսական միջոցառումների աշխատանքային խմբի» (այսուհետ` ՖԱԹՖ) 30-րդ հանձնարարականի տեխնիկական համապատասխանության և ՓԼ/ԱՖ դեմ պայքարի համակարգերի արդյունավետության գնահատման համար մեթոդաբանության համաձայն՝ իրավապահ և քրեական հետապնդում իրականացնող մարմինները պետք է ապահովված լինեն ֆինանսական, </w:t>
      </w:r>
      <w:r w:rsidRPr="00303D5F">
        <w:rPr>
          <w:rFonts w:ascii="GHEA Grapalat" w:eastAsia="GHEA Grapalat" w:hAnsi="GHEA Grapalat" w:cs="GHEA Grapalat"/>
          <w:sz w:val="24"/>
          <w:szCs w:val="24"/>
          <w:u w:val="single"/>
          <w:lang w:val="hy-AM"/>
        </w:rPr>
        <w:t>մարդկային</w:t>
      </w:r>
      <w:r w:rsidRPr="00303D5F">
        <w:rPr>
          <w:rFonts w:ascii="GHEA Grapalat" w:eastAsia="GHEA Grapalat" w:hAnsi="GHEA Grapalat" w:cs="GHEA Grapalat"/>
          <w:sz w:val="24"/>
          <w:szCs w:val="24"/>
          <w:lang w:val="hy-AM"/>
        </w:rPr>
        <w:t xml:space="preserve"> և տեխնիկական համարժեք ռեսուրսներով: Պետությունները պետք է ներդնեն հսկողական մեխանիզմներ՝ </w:t>
      </w:r>
      <w:r w:rsidRPr="00303D5F">
        <w:rPr>
          <w:rFonts w:ascii="GHEA Grapalat" w:eastAsia="GHEA Grapalat" w:hAnsi="GHEA Grapalat" w:cs="GHEA Grapalat"/>
          <w:sz w:val="24"/>
          <w:szCs w:val="24"/>
          <w:lang w:val="hy-AM"/>
        </w:rPr>
        <w:lastRenderedPageBreak/>
        <w:t>հավաստիանալու համար, որ այդ մարմինների աշխատակիցներն առաջնորդվում են մասնագիտական բարձր չափանիշներով, այդ թվում՝ կոնֆիդենցիալության մասով, բարեխիղճ կերպով կատարում են իրենց պարտականությունները և ունեն բավարար հմտություններ</w:t>
      </w:r>
      <w:r w:rsidRPr="007F090B">
        <w:rPr>
          <w:rFonts w:ascii="GHEA Grapalat" w:eastAsia="GHEA Grapalat" w:hAnsi="GHEA Grapalat" w:cs="GHEA Grapalat"/>
          <w:sz w:val="24"/>
          <w:szCs w:val="24"/>
          <w:vertAlign w:val="superscript"/>
        </w:rPr>
        <w:footnoteReference w:id="7"/>
      </w:r>
      <w:r w:rsidRPr="00303D5F">
        <w:rPr>
          <w:rFonts w:ascii="GHEA Grapalat" w:eastAsia="GHEA Grapalat" w:hAnsi="GHEA Grapalat" w:cs="GHEA Grapalat"/>
          <w:sz w:val="24"/>
          <w:szCs w:val="24"/>
          <w:lang w:val="hy-AM"/>
        </w:rPr>
        <w:t>:</w:t>
      </w:r>
    </w:p>
    <w:p w:rsidR="00415B60" w:rsidRPr="00303D5F" w:rsidRDefault="00415B60" w:rsidP="00224EAD">
      <w:pPr>
        <w:spacing w:after="0" w:line="360" w:lineRule="auto"/>
        <w:ind w:firstLine="720"/>
        <w:jc w:val="both"/>
        <w:rPr>
          <w:rFonts w:ascii="GHEA Grapalat" w:eastAsia="GHEA Grapalat" w:hAnsi="GHEA Grapalat" w:cs="GHEA Grapalat"/>
          <w:sz w:val="24"/>
          <w:szCs w:val="24"/>
          <w:lang w:val="hy-AM"/>
        </w:rPr>
      </w:pPr>
      <w:r w:rsidRPr="00303D5F">
        <w:rPr>
          <w:rFonts w:ascii="GHEA Grapalat" w:eastAsia="GHEA Grapalat" w:hAnsi="GHEA Grapalat" w:cs="GHEA Grapalat"/>
          <w:sz w:val="24"/>
          <w:szCs w:val="24"/>
          <w:lang w:val="hy-AM"/>
        </w:rPr>
        <w:t>Մարդկային համարժեք ռեսուրսներ ասելով</w:t>
      </w:r>
      <w:r w:rsidR="00D06ED6">
        <w:rPr>
          <w:rFonts w:ascii="GHEA Grapalat" w:eastAsia="GHEA Grapalat" w:hAnsi="GHEA Grapalat" w:cs="GHEA Grapalat"/>
          <w:sz w:val="24"/>
          <w:szCs w:val="24"/>
          <w:lang w:val="hy-AM"/>
        </w:rPr>
        <w:t>՝</w:t>
      </w:r>
      <w:r w:rsidRPr="00303D5F">
        <w:rPr>
          <w:rFonts w:ascii="GHEA Grapalat" w:eastAsia="GHEA Grapalat" w:hAnsi="GHEA Grapalat" w:cs="GHEA Grapalat"/>
          <w:sz w:val="24"/>
          <w:szCs w:val="24"/>
          <w:lang w:val="hy-AM"/>
        </w:rPr>
        <w:t xml:space="preserve"> անհրաժեշտ է հասկանալ աշխատակիցներ՝ </w:t>
      </w:r>
      <w:r w:rsidRPr="00303D5F">
        <w:rPr>
          <w:rFonts w:ascii="GHEA Grapalat" w:eastAsia="GHEA Grapalat" w:hAnsi="GHEA Grapalat" w:cs="GHEA Grapalat"/>
          <w:b/>
          <w:i/>
          <w:sz w:val="24"/>
          <w:szCs w:val="24"/>
          <w:lang w:val="hy-AM"/>
        </w:rPr>
        <w:t>քննիչներ, ովքեր կապահովվեն բավարար ժամանակով</w:t>
      </w:r>
      <w:r w:rsidRPr="00303D5F">
        <w:rPr>
          <w:rFonts w:ascii="GHEA Grapalat" w:eastAsia="GHEA Grapalat" w:hAnsi="GHEA Grapalat" w:cs="GHEA Grapalat"/>
          <w:sz w:val="24"/>
          <w:szCs w:val="24"/>
          <w:lang w:val="hy-AM"/>
        </w:rPr>
        <w:t>, որպեսզի բարեխիղճ ձևով կատարեն իրենց պարտականությունները։ Գերծանրաբեռնվածությունն անկասկած բերում է ժամանակային ռեսուրսի սպառման, ինչն էլ բացասական ազդեցություն է ունենում քննիչների աշխատանքի արդյունավետության վրա։ Հետևաբար հարցականի տակ է դրվում</w:t>
      </w:r>
      <w:r w:rsidR="003C29F0" w:rsidRPr="00303D5F">
        <w:rPr>
          <w:rFonts w:ascii="GHEA Grapalat" w:eastAsia="GHEA Grapalat" w:hAnsi="GHEA Grapalat" w:cs="GHEA Grapalat"/>
          <w:sz w:val="24"/>
          <w:szCs w:val="24"/>
          <w:lang w:val="hy-AM"/>
        </w:rPr>
        <w:t xml:space="preserve"> «</w:t>
      </w:r>
      <w:r w:rsidRPr="00303D5F">
        <w:rPr>
          <w:rFonts w:ascii="GHEA Grapalat" w:eastAsia="GHEA Grapalat" w:hAnsi="GHEA Grapalat" w:cs="GHEA Grapalat"/>
          <w:sz w:val="24"/>
          <w:szCs w:val="24"/>
          <w:lang w:val="hy-AM"/>
        </w:rPr>
        <w:t>մարդկային համարժեք ռեսուրս</w:t>
      </w:r>
      <w:r w:rsidR="003C29F0" w:rsidRPr="00303D5F">
        <w:rPr>
          <w:rFonts w:ascii="GHEA Grapalat" w:eastAsia="GHEA Grapalat" w:hAnsi="GHEA Grapalat" w:cs="GHEA Grapalat"/>
          <w:sz w:val="24"/>
          <w:szCs w:val="24"/>
          <w:lang w:val="hy-AM"/>
        </w:rPr>
        <w:t>»</w:t>
      </w:r>
      <w:r w:rsidRPr="00303D5F">
        <w:rPr>
          <w:rFonts w:ascii="GHEA Grapalat" w:eastAsia="GHEA Grapalat" w:hAnsi="GHEA Grapalat" w:cs="GHEA Grapalat"/>
          <w:sz w:val="24"/>
          <w:szCs w:val="24"/>
          <w:lang w:val="hy-AM"/>
        </w:rPr>
        <w:t xml:space="preserve"> ունենալու հանգամանքը։</w:t>
      </w:r>
    </w:p>
    <w:p w:rsidR="00415B60" w:rsidRPr="00303D5F" w:rsidRDefault="00415B60" w:rsidP="00224EAD">
      <w:pPr>
        <w:spacing w:after="0" w:line="360" w:lineRule="auto"/>
        <w:ind w:firstLine="720"/>
        <w:jc w:val="both"/>
        <w:rPr>
          <w:rFonts w:ascii="GHEA Grapalat" w:eastAsia="GHEA Grapalat" w:hAnsi="GHEA Grapalat" w:cs="GHEA Grapalat"/>
          <w:sz w:val="24"/>
          <w:szCs w:val="24"/>
          <w:lang w:val="hy-AM"/>
        </w:rPr>
      </w:pPr>
      <w:r w:rsidRPr="00303D5F">
        <w:rPr>
          <w:rFonts w:ascii="GHEA Grapalat" w:eastAsia="GHEA Grapalat" w:hAnsi="GHEA Grapalat" w:cs="GHEA Grapalat"/>
          <w:sz w:val="24"/>
          <w:szCs w:val="24"/>
          <w:lang w:val="hy-AM"/>
        </w:rPr>
        <w:t>Բացի այդ, փողերի լվացման և կոռուպցիոն այլ հանցագործությունների վերաբերյալ գործերի քննությունը ենթադրում է որոշակի լրացուցիչ տակտիկայի կիրառում: Նախ անհրաժեշտ է հաշվի առնել, որ տվյալները, որոնք ֆինանսական հանցագործությունների վերաբերյալ գործերով դառնում են ապացույց, հիմնականում ստացվում են երկու աղբյուրից՝ հանցագործության սուբյեկտից և այլ մասնակիցներից: Քննությունը պլանավորելիս առաջնայինը պետք է լինի հանցանքը կատարած անձի և նրա իրականացրած գործունեության վերաբերյալ տվյալների հնարավորինս շուտ ստանալը, քանի որ հակառակ պարագայում հանցագործություն կատարած անձի կողմից ամեն հնարավոր ջանք կգործադրվի հանցագործության քննության ուղղությունը շեղելու կամ հանցագործության հետքերը թաքցնելու համար: Առավելագույնս օպերատիվ և տակտիկապես գրագետ պետք է գործել հանցագործության համար էական նշանակություն ունեցող տվյալները քննության համար հնարավորինս շուտ հասանելի դարձնելու նպատակով:</w:t>
      </w:r>
    </w:p>
    <w:p w:rsidR="00415B60" w:rsidRPr="00303D5F" w:rsidRDefault="00415B60" w:rsidP="00224EAD">
      <w:pPr>
        <w:spacing w:after="0" w:line="360" w:lineRule="auto"/>
        <w:ind w:firstLine="720"/>
        <w:jc w:val="both"/>
        <w:rPr>
          <w:rFonts w:ascii="GHEA Grapalat" w:eastAsia="GHEA Grapalat" w:hAnsi="GHEA Grapalat" w:cs="GHEA Grapalat"/>
          <w:sz w:val="24"/>
          <w:szCs w:val="24"/>
          <w:lang w:val="hy-AM"/>
        </w:rPr>
      </w:pPr>
      <w:r w:rsidRPr="00303D5F">
        <w:rPr>
          <w:rFonts w:ascii="GHEA Grapalat" w:eastAsia="GHEA Grapalat" w:hAnsi="GHEA Grapalat" w:cs="GHEA Grapalat"/>
          <w:sz w:val="24"/>
          <w:szCs w:val="24"/>
          <w:lang w:val="hy-AM"/>
        </w:rPr>
        <w:t xml:space="preserve">Այս պարագայում ևս հարկ է փաստել, որ գերծանրաբեռնված քննիչի մոտ առաջացած ժամանակային դեֆիցիտը բացասաբար է ազդելու հանցանքը կատարած անձի և նրա իրականացրած գործունեության վերաբերյալ տվյալների </w:t>
      </w:r>
      <w:r w:rsidRPr="00303D5F">
        <w:rPr>
          <w:rFonts w:ascii="GHEA Grapalat" w:eastAsia="GHEA Grapalat" w:hAnsi="GHEA Grapalat" w:cs="GHEA Grapalat"/>
          <w:sz w:val="24"/>
          <w:szCs w:val="24"/>
          <w:lang w:val="hy-AM"/>
        </w:rPr>
        <w:lastRenderedPageBreak/>
        <w:t>առավելագույնս օպերատիվ, հնարավորինս արագ ստանալու, հետևաբար քննությունն արդյունավետ պլանավորելու, կատարելու վրա։</w:t>
      </w:r>
    </w:p>
    <w:p w:rsidR="00F86107" w:rsidRPr="00B70AFF" w:rsidRDefault="00F86107" w:rsidP="00F86107">
      <w:pPr>
        <w:shd w:val="clear" w:color="auto" w:fill="FFFFFF"/>
        <w:spacing w:after="0" w:line="360" w:lineRule="auto"/>
        <w:ind w:firstLine="720"/>
        <w:jc w:val="both"/>
        <w:rPr>
          <w:rFonts w:ascii="GHEA Grapalat" w:eastAsia="GHEA Grapalat" w:hAnsi="GHEA Grapalat" w:cs="GHEA Grapalat"/>
          <w:color w:val="000000"/>
          <w:sz w:val="24"/>
          <w:szCs w:val="24"/>
          <w:lang w:val="hy-AM"/>
        </w:rPr>
      </w:pPr>
      <w:r w:rsidRPr="00B70AFF">
        <w:rPr>
          <w:rFonts w:ascii="GHEA Grapalat" w:eastAsia="GHEA Grapalat" w:hAnsi="GHEA Grapalat" w:cs="GHEA Grapalat"/>
          <w:sz w:val="24"/>
          <w:szCs w:val="24"/>
          <w:lang w:val="hy-AM"/>
        </w:rPr>
        <w:t xml:space="preserve">Ուստի </w:t>
      </w:r>
      <w:r w:rsidRPr="007F090B">
        <w:rPr>
          <w:rFonts w:ascii="GHEA Grapalat" w:eastAsia="GHEA Grapalat" w:hAnsi="GHEA Grapalat" w:cs="GHEA Grapalat"/>
          <w:color w:val="000000"/>
          <w:sz w:val="24"/>
          <w:szCs w:val="24"/>
          <w:lang w:val="hy-AM"/>
        </w:rPr>
        <w:t xml:space="preserve">առաջարկվում է հետևյալ կարգավորումը՝ </w:t>
      </w:r>
      <w:r w:rsidRPr="007F090B">
        <w:rPr>
          <w:rFonts w:ascii="GHEA Grapalat" w:hAnsi="GHEA Grapalat"/>
          <w:color w:val="000000"/>
          <w:sz w:val="24"/>
          <w:szCs w:val="24"/>
          <w:lang w:val="hy-AM"/>
        </w:rPr>
        <w:t xml:space="preserve">սույն օրենսգրքով հակակոռուպցիոն կոմիտեի քննիչների ենթակայությանը վերապահված, սակայն «Հակակոռուպցիոն կոմիտեի մասին» օրենքն (սույն կետում այսուհետ՝ </w:t>
      </w:r>
      <w:r w:rsidR="003A665A">
        <w:rPr>
          <w:rFonts w:ascii="GHEA Grapalat" w:hAnsi="GHEA Grapalat"/>
          <w:color w:val="000000"/>
          <w:sz w:val="24"/>
          <w:szCs w:val="24"/>
          <w:lang w:val="hy-AM"/>
        </w:rPr>
        <w:t>Օ</w:t>
      </w:r>
      <w:r w:rsidRPr="007F090B">
        <w:rPr>
          <w:rFonts w:ascii="GHEA Grapalat" w:hAnsi="GHEA Grapalat"/>
          <w:color w:val="000000"/>
          <w:sz w:val="24"/>
          <w:szCs w:val="24"/>
          <w:lang w:val="hy-AM"/>
        </w:rPr>
        <w:t>րենք) ուժի մեջ մտնելուց հետո մինչև</w:t>
      </w:r>
      <w:r w:rsidR="00731133">
        <w:rPr>
          <w:rFonts w:ascii="GHEA Grapalat" w:hAnsi="GHEA Grapalat"/>
          <w:color w:val="000000"/>
          <w:sz w:val="24"/>
          <w:szCs w:val="24"/>
          <w:lang w:val="hy-AM"/>
        </w:rPr>
        <w:t xml:space="preserve"> 2024</w:t>
      </w:r>
      <w:r w:rsidRPr="007F090B">
        <w:rPr>
          <w:rFonts w:ascii="GHEA Grapalat" w:hAnsi="GHEA Grapalat"/>
          <w:color w:val="000000"/>
          <w:sz w:val="24"/>
          <w:szCs w:val="24"/>
          <w:lang w:val="hy-AM"/>
        </w:rPr>
        <w:t xml:space="preserve"> թվականի հունվարի 1-ը հարուցված (նախաձեռնված)</w:t>
      </w:r>
      <w:r w:rsidR="00B70AFF" w:rsidRPr="00B70AFF">
        <w:rPr>
          <w:rFonts w:ascii="GHEA Grapalat" w:hAnsi="GHEA Grapalat"/>
          <w:color w:val="000000"/>
          <w:sz w:val="24"/>
          <w:szCs w:val="24"/>
          <w:lang w:val="hy-AM"/>
        </w:rPr>
        <w:t>, ինչպես նաև քննվող</w:t>
      </w:r>
      <w:r w:rsidRPr="007F090B">
        <w:rPr>
          <w:rFonts w:ascii="GHEA Grapalat" w:hAnsi="GHEA Grapalat"/>
          <w:color w:val="000000"/>
          <w:sz w:val="24"/>
          <w:szCs w:val="24"/>
          <w:lang w:val="hy-AM"/>
        </w:rPr>
        <w:t xml:space="preserve"> քրեական գործերով (վարույթներով) նախաքննությունն իրականացնում են այն մարմինները, որոնք </w:t>
      </w:r>
      <w:r w:rsidR="00182591">
        <w:rPr>
          <w:rFonts w:ascii="GHEA Grapalat" w:hAnsi="GHEA Grapalat"/>
          <w:color w:val="000000"/>
          <w:sz w:val="24"/>
          <w:szCs w:val="24"/>
          <w:lang w:val="hy-AM"/>
        </w:rPr>
        <w:t>Օ</w:t>
      </w:r>
      <w:r w:rsidRPr="007F090B">
        <w:rPr>
          <w:rFonts w:ascii="GHEA Grapalat" w:hAnsi="GHEA Grapalat"/>
          <w:color w:val="000000"/>
          <w:sz w:val="24"/>
          <w:szCs w:val="24"/>
          <w:lang w:val="hy-AM"/>
        </w:rPr>
        <w:t xml:space="preserve">րենքն ուժի մեջ մտնելուց հետո նշված գործերով (վարույթներով) իրականացրել են </w:t>
      </w:r>
      <w:r w:rsidRPr="00731133">
        <w:rPr>
          <w:rFonts w:ascii="GHEA Grapalat" w:hAnsi="GHEA Grapalat"/>
          <w:color w:val="000000"/>
          <w:sz w:val="24"/>
          <w:szCs w:val="24"/>
          <w:lang w:val="hy-AM"/>
        </w:rPr>
        <w:t xml:space="preserve">նախաքննություն, բացառությամբ այն գործերի, որոնք </w:t>
      </w:r>
      <w:r w:rsidR="00182591">
        <w:rPr>
          <w:rFonts w:ascii="GHEA Grapalat" w:hAnsi="GHEA Grapalat"/>
          <w:color w:val="000000"/>
          <w:sz w:val="24"/>
          <w:szCs w:val="24"/>
          <w:lang w:val="hy-AM"/>
        </w:rPr>
        <w:t>Օ</w:t>
      </w:r>
      <w:r w:rsidRPr="00731133">
        <w:rPr>
          <w:rFonts w:ascii="GHEA Grapalat" w:hAnsi="GHEA Grapalat"/>
          <w:color w:val="000000"/>
          <w:sz w:val="24"/>
          <w:szCs w:val="24"/>
          <w:lang w:val="hy-AM"/>
        </w:rPr>
        <w:t>րենքն ուժի մեջ մտնելուց հետո Հայաստանի Հանրապետության գլխավոր դատախազի կողմից՝ հակակոռուպցիոն կոմիտեի նախագահի համաձայնությամբ հանձնվել են հակակոռուպցիոն կոմիտեի քննիչների վարույթին</w:t>
      </w:r>
      <w:r w:rsidR="00731133" w:rsidRPr="00B70AFF">
        <w:rPr>
          <w:rFonts w:ascii="GHEA Grapalat" w:hAnsi="GHEA Grapalat"/>
          <w:color w:val="000000"/>
          <w:sz w:val="24"/>
          <w:szCs w:val="24"/>
          <w:lang w:val="hy-AM"/>
        </w:rPr>
        <w:t>:</w:t>
      </w:r>
    </w:p>
    <w:p w:rsidR="00182591" w:rsidRPr="00B70AFF" w:rsidRDefault="00182591" w:rsidP="00224EAD">
      <w:pPr>
        <w:spacing w:after="0" w:line="360" w:lineRule="auto"/>
        <w:ind w:firstLine="72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Այս կարգավորումը հնարավորություն կտա 2023 թվականի հունվարի 1-ից ՀՀ ողջ տարածքում կոռուպցիոն ենթադրյալ բոլոր հանցագործությունների վերաբերյալ քրեական գործերով </w:t>
      </w:r>
      <w:r w:rsidRPr="00B70AFF">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վարույթներով</w:t>
      </w:r>
      <w:r w:rsidRPr="00B70AFF">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 xml:space="preserve"> նախաքննությամբ առանց այն էլ ծանրաբեռնված՝ ՀՀ հակակոռուպցիոն կոմիտեի քննիչներին գոնե չծանրաբեռնել նախորդ ժամանակահատվածում հարուցված </w:t>
      </w:r>
      <w:r w:rsidRPr="00B70AFF">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նախաձեռնված</w:t>
      </w:r>
      <w:r w:rsidRPr="00B70AFF">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 xml:space="preserve"> և նախաքննական այլ մարմիններում հիմնականում տևական ժամանակ քննված գործերով </w:t>
      </w:r>
      <w:r w:rsidRPr="00B70AFF">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վարույթներով</w:t>
      </w:r>
      <w:r w:rsidRPr="00B70AFF">
        <w:rPr>
          <w:rFonts w:ascii="GHEA Grapalat" w:eastAsia="GHEA Grapalat" w:hAnsi="GHEA Grapalat" w:cs="GHEA Grapalat"/>
          <w:color w:val="000000"/>
          <w:sz w:val="24"/>
          <w:szCs w:val="24"/>
          <w:lang w:val="hy-AM"/>
        </w:rPr>
        <w:t>)</w:t>
      </w:r>
      <w:r w:rsidR="00303D5F" w:rsidRPr="00B70AFF">
        <w:rPr>
          <w:rFonts w:ascii="GHEA Grapalat" w:eastAsia="GHEA Grapalat" w:hAnsi="GHEA Grapalat" w:cs="GHEA Grapalat"/>
          <w:color w:val="000000"/>
          <w:sz w:val="24"/>
          <w:szCs w:val="24"/>
          <w:lang w:val="hy-AM"/>
        </w:rPr>
        <w:t>:</w:t>
      </w:r>
    </w:p>
    <w:p w:rsidR="00415B60" w:rsidRPr="007F090B" w:rsidRDefault="00415B60"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 xml:space="preserve">Միջազգային փորձի ուսումնասիրությունը ևս վկայում է այն մասին, որ տարբեր պետություններում գործում են մասնագիտացված կոռուպցիոն բնույթի հանցագործությունների բացահայտման և քննության գործառույթներով օժտված մարմիններ, որոնք, ընտրված մոդելների տարբերություններով հանդերձ, առաջնորդվում են միջազգայնորեն ընդունված սկզբունքներով: Այսպես, Ուկրաինայում գործում է Ուկրաինայի ազգային հակակոռուպցիոն բյուրոն: Համաձայն ազգային հակակոռուպցիոն բյուրոյի մասին օրենքի առաջին հոդվածի՝ Բյուրոն պետական իրավապահ մարմին է, որը պատասխանատու է իր իրավասության հետ կապված կոռուպցիոն հանցագործությունների հայտնաբերման, քննության, բացահայտման, ինչպես նաև կանխարգելման համար: Կոռուպցիոն </w:t>
      </w:r>
      <w:r w:rsidRPr="007F090B">
        <w:rPr>
          <w:rFonts w:ascii="GHEA Grapalat" w:eastAsia="GHEA Grapalat" w:hAnsi="GHEA Grapalat" w:cs="GHEA Grapalat"/>
          <w:sz w:val="24"/>
          <w:szCs w:val="24"/>
          <w:lang w:val="hy-AM"/>
        </w:rPr>
        <w:lastRenderedPageBreak/>
        <w:t>հանցագործությունների քննության արդյունավետություն ապահովելու անհրաժեշտությամբ պայմանավորված՝ Բյուրոյի աշխատակիցները իրականացնում են և՛ օպերատիվ-հետախուզական գործունեություն, և՛ նախաքննություն:</w:t>
      </w:r>
    </w:p>
    <w:p w:rsidR="00741469" w:rsidRPr="007F090B" w:rsidRDefault="00741469"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Ուկրաինայի քրեական դատավարության օրենսգրքի 216–րդ հոդվածի համաձայն</w:t>
      </w:r>
      <w:r w:rsidR="00F82DDA" w:rsidRPr="007F090B">
        <w:rPr>
          <w:rFonts w:ascii="GHEA Grapalat" w:eastAsia="GHEA Grapalat" w:hAnsi="GHEA Grapalat" w:cs="GHEA Grapalat"/>
          <w:sz w:val="24"/>
          <w:szCs w:val="24"/>
          <w:lang w:val="hy-AM"/>
        </w:rPr>
        <w:t>`</w:t>
      </w:r>
      <w:r w:rsidRPr="007F090B">
        <w:rPr>
          <w:rFonts w:ascii="GHEA Grapalat" w:eastAsia="GHEA Grapalat" w:hAnsi="GHEA Grapalat" w:cs="GHEA Grapalat"/>
          <w:sz w:val="24"/>
          <w:szCs w:val="24"/>
          <w:lang w:val="hy-AM"/>
        </w:rPr>
        <w:t xml:space="preserve"> սահմանվում է, որ Ուկրաինայի ազգային հակակոռուպցիոն բյուրոյի դետեկտիվները իրականացնում են մինչդատական վարույթ Ուկրաինայի քրեական օրենսգրքի 191, 206-3, 209, 210, 211, 354 (հանրային իրավունքի իրավաբանական անձանց աշխատակիցների նկատմամբ), 364, 366-2, 366-3, 368, 368-5, 369, 369-2, 410 հոդվածներով նախատեսված քրեական գործերով, եթե առկա է հետևյալ պայմաններից առնվազն մեկը ՝</w:t>
      </w:r>
    </w:p>
    <w:p w:rsidR="00741469" w:rsidRPr="007F090B" w:rsidRDefault="00741469"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ա</w:t>
      </w:r>
      <w:r w:rsidRPr="007F090B">
        <w:rPr>
          <w:rFonts w:ascii="Cambria Math" w:eastAsia="MS Mincho" w:hAnsi="Cambria Math" w:cs="Cambria Math"/>
          <w:sz w:val="24"/>
          <w:szCs w:val="24"/>
          <w:lang w:val="hy-AM"/>
        </w:rPr>
        <w:t>․</w:t>
      </w:r>
      <w:r w:rsidRPr="007F090B">
        <w:rPr>
          <w:rFonts w:ascii="GHEA Grapalat" w:eastAsia="GHEA Grapalat" w:hAnsi="GHEA Grapalat" w:cs="GHEA Grapalat"/>
          <w:sz w:val="24"/>
          <w:szCs w:val="24"/>
          <w:lang w:val="hy-AM"/>
        </w:rPr>
        <w:t xml:space="preserve"> այն կատարվել է բարձրաստիճան պաշտոնատար անձանց կողմից,</w:t>
      </w:r>
    </w:p>
    <w:p w:rsidR="00741469" w:rsidRPr="007F090B" w:rsidRDefault="00741469"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բ</w:t>
      </w:r>
      <w:r w:rsidRPr="007F090B">
        <w:rPr>
          <w:rFonts w:ascii="Cambria Math" w:eastAsia="MS Mincho" w:hAnsi="Cambria Math" w:cs="Cambria Math"/>
          <w:sz w:val="24"/>
          <w:szCs w:val="24"/>
          <w:lang w:val="hy-AM"/>
        </w:rPr>
        <w:t>․</w:t>
      </w:r>
      <w:r w:rsidRPr="007F090B">
        <w:rPr>
          <w:rFonts w:ascii="GHEA Grapalat" w:eastAsia="GHEA Grapalat" w:hAnsi="GHEA Grapalat" w:cs="GHEA Grapalat"/>
          <w:sz w:val="24"/>
          <w:szCs w:val="24"/>
          <w:lang w:val="hy-AM"/>
        </w:rPr>
        <w:t xml:space="preserve"> քրեական հանցագործության առարկայի չափը կամ պատճառված վնասը հինգ հարյուր կամ ավել անգամ գերազանցում է հանցագործության կատարման պահին օրենքով սահմանված աշխատունակ անձանց նվազագույն կենսաապահովման չափը,</w:t>
      </w:r>
    </w:p>
    <w:p w:rsidR="00741469" w:rsidRPr="007F090B" w:rsidRDefault="00741469"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գ</w:t>
      </w:r>
      <w:r w:rsidRPr="007F090B">
        <w:rPr>
          <w:rFonts w:ascii="Cambria Math" w:eastAsia="MS Mincho" w:hAnsi="Cambria Math" w:cs="Cambria Math"/>
          <w:sz w:val="24"/>
          <w:szCs w:val="24"/>
          <w:lang w:val="hy-AM"/>
        </w:rPr>
        <w:t>․</w:t>
      </w:r>
      <w:r w:rsidRPr="007F090B">
        <w:rPr>
          <w:rFonts w:ascii="GHEA Grapalat" w:eastAsia="GHEA Grapalat" w:hAnsi="GHEA Grapalat" w:cs="GHEA Grapalat"/>
          <w:sz w:val="24"/>
          <w:szCs w:val="24"/>
          <w:lang w:val="hy-AM"/>
        </w:rPr>
        <w:t xml:space="preserve"> Ուկրաինայի քրեական օրենսգրքի 369–րդ հոդվածով, 369-2–րդ հոդվածի առաջին մասով նախատեսված քրեական հանցագործությունը կատարվել է Ուկրաինայի քրեական օրենսգրքի 18-րդ հոդվածի 4-րդ մասում կամ սույն մասի առաջին կետով նախատեսված պաշտոնատար անձի նկատմամբ։</w:t>
      </w:r>
    </w:p>
    <w:p w:rsidR="00741469" w:rsidRPr="007F090B" w:rsidRDefault="00741469"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 xml:space="preserve">Ուկրաինայի ազգային հակակոռուպցիոն բյուրոն ունի ավելի քան </w:t>
      </w:r>
      <w:r w:rsidR="00807680">
        <w:rPr>
          <w:rFonts w:ascii="GHEA Grapalat" w:eastAsia="GHEA Grapalat" w:hAnsi="GHEA Grapalat" w:cs="GHEA Grapalat"/>
          <w:sz w:val="24"/>
          <w:szCs w:val="24"/>
          <w:lang w:val="hy-AM"/>
        </w:rPr>
        <w:t>237</w:t>
      </w:r>
      <w:r w:rsidRPr="007F090B">
        <w:rPr>
          <w:rFonts w:ascii="GHEA Grapalat" w:eastAsia="GHEA Grapalat" w:hAnsi="GHEA Grapalat" w:cs="GHEA Grapalat"/>
          <w:sz w:val="24"/>
          <w:szCs w:val="24"/>
          <w:lang w:val="hy-AM"/>
        </w:rPr>
        <w:t xml:space="preserve"> քննիչ–դետեկտիվ, որոնցից յուրաքանչյուրի վարույթում տարեկան կտրվածքով միջինով առկա է </w:t>
      </w:r>
      <w:r w:rsidR="00807680">
        <w:rPr>
          <w:rFonts w:ascii="GHEA Grapalat" w:eastAsia="GHEA Grapalat" w:hAnsi="GHEA Grapalat" w:cs="GHEA Grapalat"/>
          <w:sz w:val="24"/>
          <w:szCs w:val="24"/>
          <w:lang w:val="hy-AM"/>
        </w:rPr>
        <w:t>3-4</w:t>
      </w:r>
      <w:r w:rsidRPr="007F090B">
        <w:rPr>
          <w:rFonts w:ascii="GHEA Grapalat" w:eastAsia="GHEA Grapalat" w:hAnsi="GHEA Grapalat" w:cs="GHEA Grapalat"/>
          <w:sz w:val="24"/>
          <w:szCs w:val="24"/>
          <w:lang w:val="hy-AM"/>
        </w:rPr>
        <w:t>քրեական գործ։</w:t>
      </w:r>
    </w:p>
    <w:p w:rsidR="00415B60" w:rsidRPr="007F090B" w:rsidRDefault="00415B60" w:rsidP="00224EAD">
      <w:pPr>
        <w:shd w:val="clear" w:color="auto" w:fill="FFFFFF"/>
        <w:spacing w:after="0" w:line="360" w:lineRule="auto"/>
        <w:ind w:firstLine="720"/>
        <w:jc w:val="both"/>
        <w:rPr>
          <w:rFonts w:ascii="GHEA Grapalat" w:eastAsia="GHEA Grapalat" w:hAnsi="GHEA Grapalat" w:cs="GHEA Grapalat"/>
          <w:color w:val="000000"/>
          <w:sz w:val="24"/>
          <w:szCs w:val="24"/>
          <w:lang w:val="hy-AM"/>
        </w:rPr>
      </w:pPr>
      <w:r w:rsidRPr="007F090B">
        <w:rPr>
          <w:rFonts w:ascii="GHEA Grapalat" w:eastAsia="GHEA Grapalat" w:hAnsi="GHEA Grapalat" w:cs="GHEA Grapalat"/>
          <w:sz w:val="24"/>
          <w:szCs w:val="24"/>
          <w:lang w:val="hy-AM"/>
        </w:rPr>
        <w:t>Վերոգրյալի լույսի ներքո և աննախադեպ ծանրաբեռնվածության պատճառով քննիչների կողմից գործերի քննության որակի և ողջամիտ ժամկետի սկզբունքի պահպանման վրա բացասական ազդեցության ռիսկերը կառավարելի դարձնելու համար առաջարկվում է ՀՀ քրեական դատավարության օրենսգրքում կատարել համապատասխան</w:t>
      </w:r>
      <w:r w:rsidR="00741469" w:rsidRPr="007F090B">
        <w:rPr>
          <w:rFonts w:ascii="GHEA Grapalat" w:eastAsia="GHEA Grapalat" w:hAnsi="GHEA Grapalat" w:cs="GHEA Grapalat"/>
          <w:sz w:val="24"/>
          <w:szCs w:val="24"/>
          <w:lang w:val="hy-AM"/>
        </w:rPr>
        <w:t xml:space="preserve"> </w:t>
      </w:r>
      <w:r w:rsidR="00A909F4">
        <w:rPr>
          <w:rFonts w:ascii="GHEA Grapalat" w:eastAsia="GHEA Grapalat" w:hAnsi="GHEA Grapalat" w:cs="GHEA Grapalat"/>
          <w:sz w:val="24"/>
          <w:szCs w:val="24"/>
          <w:lang w:val="hy-AM"/>
        </w:rPr>
        <w:t>փոփոխություն</w:t>
      </w:r>
      <w:r w:rsidRPr="007F090B">
        <w:rPr>
          <w:rFonts w:ascii="GHEA Grapalat" w:eastAsia="GHEA Grapalat" w:hAnsi="GHEA Grapalat" w:cs="GHEA Grapalat"/>
          <w:sz w:val="24"/>
          <w:szCs w:val="24"/>
          <w:lang w:val="hy-AM"/>
        </w:rPr>
        <w:t>:</w:t>
      </w:r>
    </w:p>
    <w:p w:rsidR="00415B60" w:rsidRPr="007F090B" w:rsidRDefault="00415B60" w:rsidP="00224EAD">
      <w:pPr>
        <w:spacing w:after="0" w:line="360" w:lineRule="auto"/>
        <w:ind w:firstLine="720"/>
        <w:jc w:val="both"/>
        <w:rPr>
          <w:rFonts w:ascii="GHEA Grapalat" w:eastAsia="GHEA Grapalat" w:hAnsi="GHEA Grapalat" w:cs="GHEA Grapalat"/>
          <w:sz w:val="24"/>
          <w:szCs w:val="24"/>
          <w:lang w:val="hy-AM"/>
        </w:rPr>
      </w:pPr>
      <w:r w:rsidRPr="007F090B">
        <w:rPr>
          <w:rFonts w:ascii="Calibri" w:hAnsi="Calibri" w:cs="Calibri"/>
          <w:sz w:val="24"/>
          <w:szCs w:val="24"/>
          <w:lang w:val="hy-AM"/>
        </w:rPr>
        <w:t> </w:t>
      </w:r>
    </w:p>
    <w:p w:rsidR="00415B60" w:rsidRPr="007F090B" w:rsidRDefault="00415B60" w:rsidP="00224EAD">
      <w:pPr>
        <w:spacing w:after="0" w:line="360" w:lineRule="auto"/>
        <w:ind w:firstLine="720"/>
        <w:jc w:val="both"/>
        <w:rPr>
          <w:rFonts w:ascii="GHEA Grapalat" w:eastAsia="GHEA Grapalat" w:hAnsi="GHEA Grapalat" w:cs="GHEA Grapalat"/>
          <w:b/>
          <w:sz w:val="24"/>
          <w:szCs w:val="24"/>
          <w:lang w:val="hy-AM"/>
        </w:rPr>
      </w:pPr>
      <w:r w:rsidRPr="007F090B">
        <w:rPr>
          <w:rFonts w:ascii="GHEA Grapalat" w:eastAsia="GHEA Grapalat" w:hAnsi="GHEA Grapalat" w:cs="GHEA Grapalat"/>
          <w:b/>
          <w:sz w:val="24"/>
          <w:szCs w:val="24"/>
          <w:lang w:val="hy-AM"/>
        </w:rPr>
        <w:t>4. Առաջարկվող կարգավորման բնույթը</w:t>
      </w:r>
    </w:p>
    <w:p w:rsidR="00924402" w:rsidRDefault="00415B60">
      <w:pPr>
        <w:spacing w:after="0" w:line="360" w:lineRule="auto"/>
        <w:ind w:firstLine="720"/>
        <w:jc w:val="both"/>
        <w:rPr>
          <w:rFonts w:ascii="GHEA Grapalat" w:hAnsi="GHEA Grapalat"/>
          <w:color w:val="000000"/>
          <w:sz w:val="24"/>
          <w:szCs w:val="24"/>
          <w:lang w:val="hy-AM"/>
        </w:rPr>
      </w:pPr>
      <w:r w:rsidRPr="007F090B">
        <w:rPr>
          <w:rFonts w:ascii="GHEA Grapalat" w:eastAsia="GHEA Grapalat" w:hAnsi="GHEA Grapalat" w:cs="GHEA Grapalat"/>
          <w:sz w:val="24"/>
          <w:szCs w:val="24"/>
          <w:lang w:val="hy-AM"/>
        </w:rPr>
        <w:lastRenderedPageBreak/>
        <w:t xml:space="preserve">Հաշվի առնելով վերոգրյալը՝ մշակվել է Նախագիծ, որով նախատեսվում է </w:t>
      </w:r>
      <w:r w:rsidR="00924402" w:rsidRPr="007F090B">
        <w:rPr>
          <w:rFonts w:ascii="GHEA Grapalat" w:eastAsia="GHEA Grapalat" w:hAnsi="GHEA Grapalat" w:cs="GHEA Grapalat"/>
          <w:sz w:val="24"/>
          <w:szCs w:val="24"/>
          <w:lang w:val="hy-AM"/>
        </w:rPr>
        <w:t xml:space="preserve">կարգավորել </w:t>
      </w:r>
      <w:r w:rsidR="00924402" w:rsidRPr="007F090B">
        <w:rPr>
          <w:rFonts w:ascii="GHEA Grapalat" w:hAnsi="GHEA Grapalat"/>
          <w:color w:val="000000"/>
          <w:sz w:val="24"/>
          <w:szCs w:val="24"/>
          <w:lang w:val="hy-AM"/>
        </w:rPr>
        <w:t>«Հակակոռուպցիոն կոմիտեի մասին» օրենքն ուժի մեջ մտնելուց հետո մինչև</w:t>
      </w:r>
      <w:r w:rsidR="00823848">
        <w:rPr>
          <w:rFonts w:ascii="GHEA Grapalat" w:hAnsi="GHEA Grapalat"/>
          <w:color w:val="000000"/>
          <w:sz w:val="24"/>
          <w:szCs w:val="24"/>
          <w:lang w:val="hy-AM"/>
        </w:rPr>
        <w:t xml:space="preserve"> 2024</w:t>
      </w:r>
      <w:r w:rsidR="00924402" w:rsidRPr="007F090B">
        <w:rPr>
          <w:rFonts w:ascii="GHEA Grapalat" w:hAnsi="GHEA Grapalat"/>
          <w:color w:val="000000"/>
          <w:sz w:val="24"/>
          <w:szCs w:val="24"/>
          <w:lang w:val="hy-AM"/>
        </w:rPr>
        <w:t xml:space="preserve"> թվականի հունվարի 1-ը կոռուպցիոն բնույթի դեպքերով հարուցված (նախաձեռնված)</w:t>
      </w:r>
      <w:r w:rsidR="00B70AFF" w:rsidRPr="00B70AFF">
        <w:rPr>
          <w:rFonts w:ascii="GHEA Grapalat" w:hAnsi="GHEA Grapalat"/>
          <w:color w:val="000000"/>
          <w:sz w:val="24"/>
          <w:szCs w:val="24"/>
          <w:lang w:val="hy-AM"/>
        </w:rPr>
        <w:t>, ինչպես նաև քննվող</w:t>
      </w:r>
      <w:r w:rsidR="00924402" w:rsidRPr="007F090B">
        <w:rPr>
          <w:rFonts w:ascii="GHEA Grapalat" w:hAnsi="GHEA Grapalat"/>
          <w:color w:val="000000"/>
          <w:sz w:val="24"/>
          <w:szCs w:val="24"/>
          <w:lang w:val="hy-AM"/>
        </w:rPr>
        <w:t xml:space="preserve"> քրեական գործերով (վարույթներով) </w:t>
      </w:r>
      <w:r w:rsidR="00813DF7">
        <w:rPr>
          <w:rFonts w:ascii="GHEA Grapalat" w:hAnsi="GHEA Grapalat"/>
          <w:color w:val="000000"/>
          <w:sz w:val="24"/>
          <w:szCs w:val="24"/>
          <w:lang w:val="hy-AM"/>
        </w:rPr>
        <w:t xml:space="preserve">քննչական ենթակայության հարցը այն հաշվարկով, որ դրանց </w:t>
      </w:r>
      <w:r w:rsidR="00924402" w:rsidRPr="007F090B">
        <w:rPr>
          <w:rFonts w:ascii="GHEA Grapalat" w:hAnsi="GHEA Grapalat"/>
          <w:color w:val="000000"/>
          <w:sz w:val="24"/>
          <w:szCs w:val="24"/>
          <w:lang w:val="hy-AM"/>
        </w:rPr>
        <w:t xml:space="preserve">նախաքննությունը շարունակվի այն մարմինների կողմից, որոնք </w:t>
      </w:r>
      <w:r w:rsidR="00813DF7">
        <w:rPr>
          <w:rFonts w:ascii="GHEA Grapalat" w:hAnsi="GHEA Grapalat"/>
          <w:color w:val="000000"/>
          <w:sz w:val="24"/>
          <w:szCs w:val="24"/>
          <w:lang w:val="hy-AM"/>
        </w:rPr>
        <w:t xml:space="preserve">մինչ այդ </w:t>
      </w:r>
      <w:r w:rsidR="00924402" w:rsidRPr="007F090B">
        <w:rPr>
          <w:rFonts w:ascii="GHEA Grapalat" w:hAnsi="GHEA Grapalat"/>
          <w:color w:val="000000"/>
          <w:sz w:val="24"/>
          <w:szCs w:val="24"/>
          <w:lang w:val="hy-AM"/>
        </w:rPr>
        <w:t>իրական</w:t>
      </w:r>
      <w:r w:rsidR="00813DF7">
        <w:rPr>
          <w:rFonts w:ascii="GHEA Grapalat" w:hAnsi="GHEA Grapalat"/>
          <w:color w:val="000000"/>
          <w:sz w:val="24"/>
          <w:szCs w:val="24"/>
          <w:lang w:val="hy-AM"/>
        </w:rPr>
        <w:t>ա</w:t>
      </w:r>
      <w:r w:rsidR="00924402" w:rsidRPr="007F090B">
        <w:rPr>
          <w:rFonts w:ascii="GHEA Grapalat" w:hAnsi="GHEA Grapalat"/>
          <w:color w:val="000000"/>
          <w:sz w:val="24"/>
          <w:szCs w:val="24"/>
          <w:lang w:val="hy-AM"/>
        </w:rPr>
        <w:t xml:space="preserve">ցրել են դրա նախաքննությունը: </w:t>
      </w:r>
    </w:p>
    <w:p w:rsidR="00B70AFF" w:rsidRPr="00823848" w:rsidRDefault="00B70AFF" w:rsidP="00B70AFF">
      <w:pPr>
        <w:spacing w:after="0" w:line="360" w:lineRule="auto"/>
        <w:ind w:firstLine="567"/>
        <w:jc w:val="both"/>
        <w:rPr>
          <w:rFonts w:ascii="GHEA Grapalat" w:hAnsi="GHEA Grapalat"/>
          <w:color w:val="000000"/>
          <w:sz w:val="24"/>
          <w:szCs w:val="24"/>
          <w:shd w:val="clear" w:color="auto" w:fill="FFFFFF"/>
          <w:lang w:val="hy-AM"/>
        </w:rPr>
      </w:pPr>
      <w:r w:rsidRPr="00B70AFF">
        <w:rPr>
          <w:rFonts w:ascii="GHEA Grapalat" w:hAnsi="GHEA Grapalat"/>
          <w:color w:val="000000"/>
          <w:sz w:val="24"/>
          <w:szCs w:val="24"/>
          <w:shd w:val="clear" w:color="auto" w:fill="FFFFFF"/>
          <w:lang w:val="hy-AM"/>
        </w:rPr>
        <w:t>Իսկ</w:t>
      </w:r>
      <w:r w:rsidRPr="00823848">
        <w:rPr>
          <w:rFonts w:ascii="GHEA Grapalat" w:hAnsi="GHEA Grapalat"/>
          <w:color w:val="000000"/>
          <w:sz w:val="24"/>
          <w:szCs w:val="24"/>
          <w:shd w:val="clear" w:color="auto" w:fill="FFFFFF"/>
          <w:lang w:val="hy-AM"/>
        </w:rPr>
        <w:t xml:space="preserve"> օրենսգիրքն ուժի մեջ մտնելուց հետո նախաքննություն իրականացրած մարմնի գործունեությունը դադարեցվելու դեպքում Հայաստանի Հանրապետության գլխավոր դատախազը </w:t>
      </w:r>
      <w:r w:rsidRPr="00B70AFF">
        <w:rPr>
          <w:rFonts w:ascii="GHEA Grapalat" w:hAnsi="GHEA Grapalat"/>
          <w:color w:val="000000"/>
          <w:sz w:val="24"/>
          <w:szCs w:val="24"/>
          <w:shd w:val="clear" w:color="auto" w:fill="FFFFFF"/>
          <w:lang w:val="hy-AM"/>
        </w:rPr>
        <w:t xml:space="preserve">վերոհիշյալ </w:t>
      </w:r>
      <w:r w:rsidRPr="00823848">
        <w:rPr>
          <w:rFonts w:ascii="GHEA Grapalat" w:hAnsi="GHEA Grapalat"/>
          <w:color w:val="000000"/>
          <w:sz w:val="24"/>
          <w:szCs w:val="24"/>
          <w:shd w:val="clear" w:color="auto" w:fill="FFFFFF"/>
          <w:lang w:val="hy-AM"/>
        </w:rPr>
        <w:t>գործեր</w:t>
      </w:r>
      <w:r>
        <w:rPr>
          <w:rFonts w:ascii="GHEA Grapalat" w:hAnsi="GHEA Grapalat"/>
          <w:color w:val="000000"/>
          <w:sz w:val="24"/>
          <w:szCs w:val="24"/>
          <w:shd w:val="clear" w:color="auto" w:fill="FFFFFF"/>
          <w:lang w:val="hy-AM"/>
        </w:rPr>
        <w:t>ով</w:t>
      </w:r>
      <w:r w:rsidRPr="00823848">
        <w:rPr>
          <w:rFonts w:ascii="GHEA Grapalat" w:hAnsi="GHEA Grapalat"/>
          <w:color w:val="000000"/>
          <w:sz w:val="24"/>
          <w:szCs w:val="24"/>
          <w:shd w:val="clear" w:color="auto" w:fill="FFFFFF"/>
          <w:lang w:val="hy-AM"/>
        </w:rPr>
        <w:t xml:space="preserve"> (վարույթներ</w:t>
      </w:r>
      <w:r>
        <w:rPr>
          <w:rFonts w:ascii="GHEA Grapalat" w:hAnsi="GHEA Grapalat"/>
          <w:color w:val="000000"/>
          <w:sz w:val="24"/>
          <w:szCs w:val="24"/>
          <w:shd w:val="clear" w:color="auto" w:fill="FFFFFF"/>
          <w:lang w:val="hy-AM"/>
        </w:rPr>
        <w:t>ով</w:t>
      </w:r>
      <w:r w:rsidRPr="00823848">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նախաքննությունը </w:t>
      </w:r>
      <w:r w:rsidRPr="00823848">
        <w:rPr>
          <w:rFonts w:ascii="GHEA Grapalat" w:hAnsi="GHEA Grapalat"/>
          <w:color w:val="000000"/>
          <w:sz w:val="24"/>
          <w:szCs w:val="24"/>
          <w:shd w:val="clear" w:color="auto" w:fill="FFFFFF"/>
          <w:lang w:val="hy-AM"/>
        </w:rPr>
        <w:t xml:space="preserve">շարունակելը հանձնարարում է քննչական </w:t>
      </w:r>
      <w:r>
        <w:rPr>
          <w:rFonts w:ascii="GHEA Grapalat" w:hAnsi="GHEA Grapalat"/>
          <w:color w:val="000000"/>
          <w:sz w:val="24"/>
          <w:szCs w:val="24"/>
          <w:shd w:val="clear" w:color="auto" w:fill="FFFFFF"/>
          <w:lang w:val="hy-AM"/>
        </w:rPr>
        <w:t>կոմիտեին</w:t>
      </w:r>
      <w:r w:rsidRPr="00823848">
        <w:rPr>
          <w:rFonts w:ascii="GHEA Grapalat" w:hAnsi="GHEA Grapalat"/>
          <w:color w:val="000000"/>
          <w:sz w:val="24"/>
          <w:szCs w:val="24"/>
          <w:shd w:val="clear" w:color="auto" w:fill="FFFFFF"/>
          <w:lang w:val="hy-AM"/>
        </w:rPr>
        <w:t>:</w:t>
      </w:r>
    </w:p>
    <w:p w:rsidR="00AD0B4B" w:rsidRPr="007F090B" w:rsidRDefault="00AD0B4B" w:rsidP="007F0B5D">
      <w:pPr>
        <w:spacing w:after="0" w:line="360" w:lineRule="auto"/>
        <w:jc w:val="both"/>
        <w:rPr>
          <w:rFonts w:ascii="GHEA Grapalat" w:eastAsia="GHEA Grapalat" w:hAnsi="GHEA Grapalat" w:cs="GHEA Grapalat"/>
          <w:sz w:val="24"/>
          <w:szCs w:val="24"/>
          <w:lang w:val="hy-AM"/>
        </w:rPr>
      </w:pPr>
    </w:p>
    <w:p w:rsidR="00415B60" w:rsidRPr="007F090B" w:rsidRDefault="00415B60" w:rsidP="00224EAD">
      <w:pPr>
        <w:spacing w:after="0" w:line="360" w:lineRule="auto"/>
        <w:ind w:firstLine="720"/>
        <w:jc w:val="both"/>
        <w:rPr>
          <w:rFonts w:ascii="GHEA Grapalat" w:eastAsia="GHEA Grapalat" w:hAnsi="GHEA Grapalat" w:cs="GHEA Grapalat"/>
          <w:b/>
          <w:color w:val="000000"/>
          <w:sz w:val="24"/>
          <w:szCs w:val="24"/>
          <w:lang w:val="hy-AM"/>
        </w:rPr>
      </w:pPr>
      <w:r w:rsidRPr="007F090B">
        <w:rPr>
          <w:rFonts w:ascii="GHEA Grapalat" w:eastAsia="GHEA Grapalat" w:hAnsi="GHEA Grapalat" w:cs="GHEA Grapalat"/>
          <w:b/>
          <w:sz w:val="24"/>
          <w:szCs w:val="24"/>
          <w:lang w:val="hy-AM"/>
        </w:rPr>
        <w:t>5.Նախագծերի</w:t>
      </w:r>
      <w:r w:rsidRPr="007F090B">
        <w:rPr>
          <w:rFonts w:ascii="GHEA Grapalat" w:eastAsia="GHEA Grapalat" w:hAnsi="GHEA Grapalat" w:cs="GHEA Grapalat"/>
          <w:b/>
          <w:color w:val="000000"/>
          <w:sz w:val="24"/>
          <w:szCs w:val="24"/>
          <w:lang w:val="hy-AM"/>
        </w:rPr>
        <w:t xml:space="preserve"> ընդունման կապակցությամբ ֆինանսական միջոցների անհրաժեշտության և պետական բյուջեի եկամուտներում և ծախսերում սպասվելիք փոփոխությունների մասին.</w:t>
      </w:r>
      <w:bookmarkStart w:id="0" w:name="_GoBack"/>
      <w:bookmarkEnd w:id="0"/>
    </w:p>
    <w:p w:rsidR="00415B60" w:rsidRPr="007F090B" w:rsidRDefault="00415B60" w:rsidP="00224EAD">
      <w:pPr>
        <w:spacing w:after="0" w:line="360" w:lineRule="auto"/>
        <w:ind w:firstLine="720"/>
        <w:jc w:val="both"/>
        <w:rPr>
          <w:rFonts w:ascii="GHEA Grapalat" w:eastAsia="GHEA Grapalat" w:hAnsi="GHEA Grapalat" w:cs="GHEA Grapalat"/>
          <w:color w:val="000000"/>
          <w:sz w:val="24"/>
          <w:szCs w:val="24"/>
          <w:lang w:val="hy-AM"/>
        </w:rPr>
      </w:pPr>
      <w:r w:rsidRPr="007F090B">
        <w:rPr>
          <w:rFonts w:ascii="GHEA Grapalat" w:eastAsia="GHEA Grapalat" w:hAnsi="GHEA Grapalat" w:cs="GHEA Grapalat"/>
          <w:color w:val="000000"/>
          <w:sz w:val="24"/>
          <w:szCs w:val="24"/>
          <w:lang w:val="hy-AM"/>
        </w:rPr>
        <w:t>Նախագծերի ընդունման կապակցությամբ լրացուցիչ ֆինանսական միջոցների անհրաժեշտությունը բացակայում է. ՀՀ պետական բյուջեի ծախսերի և եկամուտների ավելացում կամ նվազեցում չի նախատեսվում:</w:t>
      </w:r>
    </w:p>
    <w:p w:rsidR="00415B60" w:rsidRPr="007F090B" w:rsidRDefault="00415B60" w:rsidP="00224EAD">
      <w:pPr>
        <w:spacing w:after="0" w:line="360" w:lineRule="auto"/>
        <w:ind w:firstLine="720"/>
        <w:jc w:val="both"/>
        <w:rPr>
          <w:rFonts w:ascii="GHEA Grapalat" w:eastAsia="GHEA Grapalat" w:hAnsi="GHEA Grapalat" w:cs="GHEA Grapalat"/>
          <w:color w:val="000000"/>
          <w:sz w:val="24"/>
          <w:szCs w:val="24"/>
          <w:lang w:val="hy-AM"/>
        </w:rPr>
      </w:pPr>
    </w:p>
    <w:p w:rsidR="00415B60" w:rsidRPr="007F090B" w:rsidRDefault="00415B60" w:rsidP="00224EAD">
      <w:pPr>
        <w:spacing w:after="0" w:line="360" w:lineRule="auto"/>
        <w:ind w:firstLine="720"/>
        <w:jc w:val="both"/>
        <w:rPr>
          <w:rFonts w:ascii="GHEA Grapalat" w:eastAsia="GHEA Grapalat" w:hAnsi="GHEA Grapalat" w:cs="GHEA Grapalat"/>
          <w:b/>
          <w:sz w:val="24"/>
          <w:szCs w:val="24"/>
          <w:lang w:val="hy-AM"/>
        </w:rPr>
      </w:pPr>
      <w:r w:rsidRPr="007F090B">
        <w:rPr>
          <w:rFonts w:ascii="GHEA Grapalat" w:eastAsia="GHEA Grapalat" w:hAnsi="GHEA Grapalat" w:cs="GHEA Grapalat"/>
          <w:b/>
          <w:sz w:val="24"/>
          <w:szCs w:val="24"/>
          <w:lang w:val="hy-AM"/>
        </w:rPr>
        <w:t>6. Նախագծերի մշակման գործընթացում ներգրավված ինստիտուտները և անձինք</w:t>
      </w:r>
    </w:p>
    <w:p w:rsidR="00415B60" w:rsidRPr="007F090B" w:rsidRDefault="00541E1C"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Նախագիծ</w:t>
      </w:r>
      <w:r w:rsidR="00415B60" w:rsidRPr="007F090B">
        <w:rPr>
          <w:rFonts w:ascii="GHEA Grapalat" w:eastAsia="GHEA Grapalat" w:hAnsi="GHEA Grapalat" w:cs="GHEA Grapalat"/>
          <w:sz w:val="24"/>
          <w:szCs w:val="24"/>
          <w:lang w:val="hy-AM"/>
        </w:rPr>
        <w:t xml:space="preserve">ը մշակվել </w:t>
      </w:r>
      <w:r w:rsidRPr="007F090B">
        <w:rPr>
          <w:rFonts w:ascii="GHEA Grapalat" w:eastAsia="GHEA Grapalat" w:hAnsi="GHEA Grapalat" w:cs="GHEA Grapalat"/>
          <w:sz w:val="24"/>
          <w:szCs w:val="24"/>
          <w:lang w:val="hy-AM"/>
        </w:rPr>
        <w:t>է</w:t>
      </w:r>
      <w:r w:rsidR="00415B60" w:rsidRPr="007F090B">
        <w:rPr>
          <w:rFonts w:ascii="GHEA Grapalat" w:eastAsia="GHEA Grapalat" w:hAnsi="GHEA Grapalat" w:cs="GHEA Grapalat"/>
          <w:sz w:val="24"/>
          <w:szCs w:val="24"/>
          <w:lang w:val="hy-AM"/>
        </w:rPr>
        <w:t xml:space="preserve"> ՀՀ հակակոռուպցիոն կոմիտեի կողմից։</w:t>
      </w:r>
    </w:p>
    <w:p w:rsidR="00415B60" w:rsidRPr="007F090B" w:rsidRDefault="00415B60" w:rsidP="00224EAD">
      <w:pPr>
        <w:spacing w:after="0" w:line="360" w:lineRule="auto"/>
        <w:ind w:firstLine="720"/>
        <w:jc w:val="both"/>
        <w:rPr>
          <w:rFonts w:ascii="GHEA Grapalat" w:eastAsia="GHEA Grapalat" w:hAnsi="GHEA Grapalat" w:cs="GHEA Grapalat"/>
          <w:b/>
          <w:sz w:val="24"/>
          <w:szCs w:val="24"/>
          <w:lang w:val="hy-AM"/>
        </w:rPr>
      </w:pPr>
    </w:p>
    <w:p w:rsidR="00415B60" w:rsidRPr="007F090B" w:rsidRDefault="00415B60" w:rsidP="00224EAD">
      <w:pPr>
        <w:spacing w:after="0" w:line="360" w:lineRule="auto"/>
        <w:ind w:firstLine="720"/>
        <w:jc w:val="both"/>
        <w:rPr>
          <w:rFonts w:ascii="GHEA Grapalat" w:eastAsia="GHEA Grapalat" w:hAnsi="GHEA Grapalat" w:cs="GHEA Grapalat"/>
          <w:b/>
          <w:sz w:val="24"/>
          <w:szCs w:val="24"/>
          <w:lang w:val="hy-AM"/>
        </w:rPr>
      </w:pPr>
      <w:r w:rsidRPr="007F090B">
        <w:rPr>
          <w:rFonts w:ascii="GHEA Grapalat" w:eastAsia="GHEA Grapalat" w:hAnsi="GHEA Grapalat" w:cs="GHEA Grapalat"/>
          <w:b/>
          <w:sz w:val="24"/>
          <w:szCs w:val="24"/>
          <w:lang w:val="hy-AM"/>
        </w:rPr>
        <w:t>7. Ակնկալվող արդյունքը</w:t>
      </w:r>
    </w:p>
    <w:p w:rsidR="00415B60" w:rsidRPr="007F090B" w:rsidRDefault="00415B60" w:rsidP="00224EAD">
      <w:pPr>
        <w:spacing w:after="0" w:line="360" w:lineRule="auto"/>
        <w:ind w:firstLine="720"/>
        <w:jc w:val="both"/>
        <w:rPr>
          <w:rFonts w:ascii="GHEA Grapalat" w:eastAsia="GHEA Grapalat" w:hAnsi="GHEA Grapalat" w:cs="GHEA Grapalat"/>
          <w:sz w:val="24"/>
          <w:szCs w:val="24"/>
          <w:lang w:val="hy-AM"/>
        </w:rPr>
      </w:pPr>
      <w:r w:rsidRPr="007F090B">
        <w:rPr>
          <w:rFonts w:ascii="GHEA Grapalat" w:eastAsia="GHEA Grapalat" w:hAnsi="GHEA Grapalat" w:cs="GHEA Grapalat"/>
          <w:sz w:val="24"/>
          <w:szCs w:val="24"/>
          <w:lang w:val="hy-AM"/>
        </w:rPr>
        <w:t>Նախագծի ընդունմամբ ակնկալվում է ապահովել կոռուպցիոն բնույթի վերոհիշյալ գործերի արդյունավետ, բազմակողմանի, լրիվ, օբյեկտիվ, պատշաճ և բարձր որակի քննությունը։</w:t>
      </w:r>
    </w:p>
    <w:p w:rsidR="001A6888" w:rsidRPr="007F090B" w:rsidRDefault="001A6888" w:rsidP="00224EAD">
      <w:pPr>
        <w:spacing w:line="360" w:lineRule="auto"/>
        <w:jc w:val="both"/>
        <w:rPr>
          <w:rFonts w:ascii="GHEA Grapalat" w:hAnsi="GHEA Grapalat"/>
          <w:sz w:val="24"/>
          <w:szCs w:val="24"/>
          <w:lang w:val="hy-AM"/>
        </w:rPr>
      </w:pPr>
    </w:p>
    <w:sectPr w:rsidR="001A6888" w:rsidRPr="007F090B" w:rsidSect="00A27011">
      <w:headerReference w:type="default" r:id="rId8"/>
      <w:pgSz w:w="11906" w:h="16838"/>
      <w:pgMar w:top="1134" w:right="851"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84179" w16cid:durableId="270CDA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A6" w:rsidRDefault="003F0DA6" w:rsidP="00C041E8">
      <w:pPr>
        <w:spacing w:after="0" w:line="240" w:lineRule="auto"/>
      </w:pPr>
      <w:r>
        <w:separator/>
      </w:r>
    </w:p>
  </w:endnote>
  <w:endnote w:type="continuationSeparator" w:id="0">
    <w:p w:rsidR="003F0DA6" w:rsidRDefault="003F0DA6" w:rsidP="00C04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A6" w:rsidRDefault="003F0DA6" w:rsidP="00C041E8">
      <w:pPr>
        <w:spacing w:after="0" w:line="240" w:lineRule="auto"/>
      </w:pPr>
      <w:r>
        <w:separator/>
      </w:r>
    </w:p>
  </w:footnote>
  <w:footnote w:type="continuationSeparator" w:id="0">
    <w:p w:rsidR="003F0DA6" w:rsidRDefault="003F0DA6" w:rsidP="00C041E8">
      <w:pPr>
        <w:spacing w:after="0" w:line="240" w:lineRule="auto"/>
      </w:pPr>
      <w:r>
        <w:continuationSeparator/>
      </w:r>
    </w:p>
  </w:footnote>
  <w:footnote w:id="1">
    <w:p w:rsidR="00415B60" w:rsidRPr="00A27011" w:rsidRDefault="00415B60" w:rsidP="00415B60">
      <w:pPr>
        <w:pBdr>
          <w:top w:val="nil"/>
          <w:left w:val="nil"/>
          <w:bottom w:val="nil"/>
          <w:right w:val="nil"/>
          <w:between w:val="nil"/>
        </w:pBdr>
        <w:spacing w:after="0" w:line="240" w:lineRule="auto"/>
        <w:rPr>
          <w:rFonts w:ascii="Sylfaen" w:eastAsia="GHEA Grapalat" w:hAnsi="Sylfaen"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r w:rsidRPr="00A27011">
        <w:rPr>
          <w:rFonts w:ascii="Sylfaen" w:eastAsia="GHEA Grapalat" w:hAnsi="Sylfaen" w:cs="GHEA Grapalat"/>
          <w:color w:val="000000"/>
          <w:sz w:val="20"/>
          <w:szCs w:val="20"/>
        </w:rPr>
        <w:t>Deumeland-ն ընդդեմ Գերմանիայի, § 90:</w:t>
      </w:r>
    </w:p>
  </w:footnote>
  <w:footnote w:id="2">
    <w:p w:rsidR="00415B60" w:rsidRPr="00A27011" w:rsidRDefault="00415B60" w:rsidP="00415B60">
      <w:pPr>
        <w:pBdr>
          <w:top w:val="nil"/>
          <w:left w:val="nil"/>
          <w:bottom w:val="nil"/>
          <w:right w:val="nil"/>
          <w:between w:val="nil"/>
        </w:pBdr>
        <w:spacing w:after="0" w:line="240" w:lineRule="auto"/>
        <w:rPr>
          <w:rFonts w:ascii="Sylfaen" w:eastAsia="GHEA Grapalat" w:hAnsi="Sylfaen" w:cs="GHEA Grapalat"/>
          <w:color w:val="000000"/>
          <w:sz w:val="20"/>
          <w:szCs w:val="20"/>
        </w:rPr>
      </w:pPr>
      <w:r w:rsidRPr="00A27011">
        <w:rPr>
          <w:rStyle w:val="FootnoteReference"/>
          <w:rFonts w:ascii="Sylfaen" w:hAnsi="Sylfaen"/>
          <w:sz w:val="20"/>
          <w:szCs w:val="20"/>
        </w:rPr>
        <w:footnoteRef/>
      </w:r>
      <w:r w:rsidRPr="00A27011">
        <w:rPr>
          <w:rFonts w:ascii="Sylfaen" w:eastAsia="GHEA Grapalat" w:hAnsi="Sylfaen" w:cs="GHEA Grapalat"/>
          <w:color w:val="000000"/>
          <w:sz w:val="20"/>
          <w:szCs w:val="20"/>
        </w:rPr>
        <w:t xml:space="preserve"> </w:t>
      </w:r>
      <w:r w:rsidRPr="00A27011">
        <w:rPr>
          <w:rFonts w:ascii="Sylfaen" w:eastAsia="GHEA Grapalat" w:hAnsi="Sylfaen" w:cs="GHEA Grapalat"/>
          <w:color w:val="000000"/>
          <w:sz w:val="20"/>
          <w:szCs w:val="20"/>
        </w:rPr>
        <w:t>Beaumartin-ն ընդդեմ Ֆրանսիայի, § 33:</w:t>
      </w:r>
    </w:p>
  </w:footnote>
  <w:footnote w:id="3">
    <w:p w:rsidR="00415B60" w:rsidRPr="00A27011" w:rsidRDefault="00415B60" w:rsidP="00415B60">
      <w:pPr>
        <w:pBdr>
          <w:top w:val="nil"/>
          <w:left w:val="nil"/>
          <w:bottom w:val="nil"/>
          <w:right w:val="nil"/>
          <w:between w:val="nil"/>
        </w:pBdr>
        <w:spacing w:after="0" w:line="240" w:lineRule="auto"/>
        <w:rPr>
          <w:rFonts w:ascii="Sylfaen" w:eastAsia="GHEA Grapalat" w:hAnsi="Sylfaen" w:cs="GHEA Grapalat"/>
          <w:color w:val="000000"/>
          <w:sz w:val="20"/>
          <w:szCs w:val="20"/>
        </w:rPr>
      </w:pPr>
      <w:r w:rsidRPr="00A27011">
        <w:rPr>
          <w:rStyle w:val="FootnoteReference"/>
          <w:rFonts w:ascii="Sylfaen" w:hAnsi="Sylfaen"/>
          <w:sz w:val="20"/>
          <w:szCs w:val="20"/>
        </w:rPr>
        <w:footnoteRef/>
      </w:r>
      <w:r w:rsidRPr="00A27011">
        <w:rPr>
          <w:rFonts w:ascii="Sylfaen" w:eastAsia="GHEA Grapalat" w:hAnsi="Sylfaen" w:cs="GHEA Grapalat"/>
          <w:color w:val="000000"/>
          <w:sz w:val="20"/>
          <w:szCs w:val="20"/>
        </w:rPr>
        <w:t xml:space="preserve"> </w:t>
      </w:r>
      <w:r w:rsidRPr="00A27011">
        <w:rPr>
          <w:rFonts w:ascii="Sylfaen" w:eastAsia="GHEA Grapalat" w:hAnsi="Sylfaen" w:cs="GHEA Grapalat"/>
          <w:color w:val="000000"/>
          <w:sz w:val="20"/>
          <w:szCs w:val="20"/>
        </w:rPr>
        <w:t>Pretto-ն և այլք ընդդեմ Իտալիայի, § 37:</w:t>
      </w:r>
    </w:p>
  </w:footnote>
  <w:footnote w:id="4">
    <w:p w:rsidR="00415B60" w:rsidRPr="00A27011" w:rsidRDefault="00415B60" w:rsidP="00415B60">
      <w:pPr>
        <w:pBdr>
          <w:top w:val="nil"/>
          <w:left w:val="nil"/>
          <w:bottom w:val="nil"/>
          <w:right w:val="nil"/>
          <w:between w:val="nil"/>
        </w:pBdr>
        <w:spacing w:after="0" w:line="240" w:lineRule="auto"/>
        <w:rPr>
          <w:rFonts w:ascii="Sylfaen" w:eastAsia="GHEA Grapalat" w:hAnsi="Sylfaen" w:cs="GHEA Grapalat"/>
          <w:color w:val="000000"/>
          <w:sz w:val="20"/>
          <w:szCs w:val="20"/>
        </w:rPr>
      </w:pPr>
      <w:r w:rsidRPr="00A27011">
        <w:rPr>
          <w:rStyle w:val="FootnoteReference"/>
          <w:rFonts w:ascii="Sylfaen" w:hAnsi="Sylfaen"/>
          <w:sz w:val="20"/>
          <w:szCs w:val="20"/>
        </w:rPr>
        <w:footnoteRef/>
      </w:r>
      <w:r w:rsidRPr="00A27011">
        <w:rPr>
          <w:rFonts w:ascii="Sylfaen" w:eastAsia="GHEA Grapalat" w:hAnsi="Sylfaen" w:cs="GHEA Grapalat"/>
          <w:color w:val="000000"/>
          <w:sz w:val="20"/>
          <w:szCs w:val="20"/>
        </w:rPr>
        <w:t xml:space="preserve"> </w:t>
      </w:r>
      <w:r w:rsidRPr="00A27011">
        <w:rPr>
          <w:rFonts w:ascii="Sylfaen" w:eastAsia="GHEA Grapalat" w:hAnsi="Sylfaen" w:cs="GHEA Grapalat"/>
          <w:color w:val="000000"/>
          <w:sz w:val="20"/>
          <w:szCs w:val="20"/>
        </w:rPr>
        <w:t>Comingersoll S.A.-ն ընդդեմ Պորտուգալիայի [ՄՊ], Frydlender-ն ընդդեմ Ֆրանսիայի [ՄՊ], § 43,Sürmeli-ն ընդդեմ Գերմանիայի [ՄՊ], § 128)։</w:t>
      </w:r>
    </w:p>
  </w:footnote>
  <w:footnote w:id="5">
    <w:p w:rsidR="00415B60" w:rsidRPr="00A27011" w:rsidRDefault="00415B60" w:rsidP="00415B60">
      <w:pPr>
        <w:pBdr>
          <w:top w:val="nil"/>
          <w:left w:val="nil"/>
          <w:bottom w:val="nil"/>
          <w:right w:val="nil"/>
          <w:between w:val="nil"/>
        </w:pBdr>
        <w:spacing w:after="0" w:line="240" w:lineRule="auto"/>
        <w:rPr>
          <w:rFonts w:ascii="Sylfaen" w:eastAsia="GHEA Grapalat" w:hAnsi="Sylfaen" w:cs="GHEA Grapalat"/>
          <w:color w:val="000000"/>
          <w:sz w:val="20"/>
          <w:szCs w:val="20"/>
        </w:rPr>
      </w:pPr>
      <w:r w:rsidRPr="00A27011">
        <w:rPr>
          <w:rStyle w:val="FootnoteReference"/>
          <w:rFonts w:ascii="Sylfaen" w:hAnsi="Sylfaen"/>
          <w:sz w:val="20"/>
          <w:szCs w:val="20"/>
        </w:rPr>
        <w:footnoteRef/>
      </w:r>
      <w:r w:rsidRPr="00A27011">
        <w:rPr>
          <w:rFonts w:ascii="Sylfaen" w:eastAsia="GHEA Grapalat" w:hAnsi="Sylfaen" w:cs="GHEA Grapalat"/>
          <w:color w:val="000000"/>
          <w:sz w:val="20"/>
          <w:szCs w:val="20"/>
        </w:rPr>
        <w:t xml:space="preserve"> </w:t>
      </w:r>
      <w:r w:rsidRPr="00A27011">
        <w:rPr>
          <w:rFonts w:ascii="Sylfaen" w:eastAsia="GHEA Grapalat" w:hAnsi="Sylfaen" w:cs="GHEA Grapalat"/>
          <w:color w:val="000000"/>
          <w:sz w:val="20"/>
          <w:szCs w:val="20"/>
        </w:rPr>
        <w:t>(Katte Klitsche de la Grange-ն ընդդեմ Իտալիայի, § 55, Papachelas-ն ընդդեմ Հունաստանի [ՄՊ], § 39:</w:t>
      </w:r>
    </w:p>
  </w:footnote>
  <w:footnote w:id="6">
    <w:p w:rsidR="00415B60" w:rsidRPr="00A27011" w:rsidRDefault="00415B60" w:rsidP="00415B60">
      <w:pPr>
        <w:pBdr>
          <w:top w:val="nil"/>
          <w:left w:val="nil"/>
          <w:bottom w:val="nil"/>
          <w:right w:val="nil"/>
          <w:between w:val="nil"/>
        </w:pBdr>
        <w:spacing w:after="0" w:line="240" w:lineRule="auto"/>
        <w:rPr>
          <w:rFonts w:ascii="Sylfaen" w:eastAsia="GHEA Grapalat" w:hAnsi="Sylfaen" w:cs="GHEA Grapalat"/>
          <w:color w:val="000000"/>
          <w:sz w:val="20"/>
          <w:szCs w:val="20"/>
        </w:rPr>
      </w:pPr>
      <w:r w:rsidRPr="00A27011">
        <w:rPr>
          <w:rStyle w:val="FootnoteReference"/>
          <w:rFonts w:ascii="Sylfaen" w:hAnsi="Sylfaen"/>
          <w:sz w:val="20"/>
          <w:szCs w:val="20"/>
        </w:rPr>
        <w:footnoteRef/>
      </w:r>
      <w:r w:rsidRPr="00A27011">
        <w:rPr>
          <w:rFonts w:ascii="Sylfaen" w:eastAsia="GHEA Grapalat" w:hAnsi="Sylfaen" w:cs="GHEA Grapalat"/>
          <w:color w:val="000000"/>
          <w:sz w:val="20"/>
          <w:szCs w:val="20"/>
        </w:rPr>
        <w:t xml:space="preserve"> </w:t>
      </w:r>
      <w:r w:rsidRPr="00A27011">
        <w:rPr>
          <w:rFonts w:ascii="Sylfaen" w:eastAsia="GHEA Grapalat" w:hAnsi="Sylfaen" w:cs="GHEA Grapalat"/>
          <w:color w:val="000000"/>
          <w:sz w:val="20"/>
          <w:szCs w:val="20"/>
        </w:rPr>
        <w:t>Martins Moreira-ն ընդդեմ Պորտուգալիայի, § 60:</w:t>
      </w:r>
    </w:p>
  </w:footnote>
  <w:footnote w:id="7">
    <w:p w:rsidR="00415B60" w:rsidRPr="00182E23" w:rsidRDefault="00415B60" w:rsidP="00741100">
      <w:pPr>
        <w:pBdr>
          <w:top w:val="nil"/>
          <w:left w:val="nil"/>
          <w:bottom w:val="nil"/>
          <w:right w:val="nil"/>
          <w:between w:val="nil"/>
        </w:pBdr>
        <w:spacing w:after="0" w:line="240" w:lineRule="auto"/>
        <w:jc w:val="both"/>
        <w:rPr>
          <w:rFonts w:ascii="GHEA Grapalat" w:hAnsi="GHEA Grapalat"/>
          <w:color w:val="000000"/>
          <w:sz w:val="20"/>
          <w:szCs w:val="20"/>
        </w:rPr>
      </w:pPr>
      <w:r>
        <w:rPr>
          <w:rStyle w:val="FootnoteReference"/>
        </w:rPr>
        <w:footnoteRef/>
      </w:r>
      <w:r>
        <w:rPr>
          <w:rFonts w:cs="Calibri"/>
          <w:color w:val="000000"/>
          <w:sz w:val="20"/>
          <w:szCs w:val="20"/>
        </w:rPr>
        <w:t xml:space="preserve"> </w:t>
      </w:r>
      <w:sdt>
        <w:sdtPr>
          <w:rPr>
            <w:rFonts w:ascii="GHEA Grapalat" w:hAnsi="GHEA Grapalat"/>
          </w:rPr>
          <w:tag w:val="goog_rdk_0"/>
          <w:id w:val="2019416633"/>
        </w:sdtPr>
        <w:sdtContent>
          <w:r w:rsidR="006A2274" w:rsidRPr="00182E23">
            <w:rPr>
              <w:rFonts w:ascii="GHEA Grapalat" w:eastAsia="Tahoma" w:hAnsi="GHEA Grapalat" w:cs="Tahoma"/>
              <w:color w:val="000000"/>
              <w:sz w:val="20"/>
              <w:szCs w:val="20"/>
              <w:lang w:val="hy-AM"/>
            </w:rPr>
            <w:t>Տ</w:t>
          </w:r>
          <w:r w:rsidRPr="00182E23">
            <w:rPr>
              <w:rFonts w:ascii="GHEA Grapalat" w:eastAsia="Tahoma" w:hAnsi="GHEA Grapalat" w:cs="Tahoma"/>
              <w:color w:val="000000"/>
              <w:sz w:val="20"/>
              <w:szCs w:val="20"/>
            </w:rPr>
            <w:t>ես՝</w:t>
          </w:r>
        </w:sdtContent>
      </w:sdt>
      <w:r w:rsidRPr="00182E23">
        <w:rPr>
          <w:rFonts w:ascii="GHEA Grapalat" w:hAnsi="GHEA Grapalat" w:cs="Calibri"/>
          <w:color w:val="000000"/>
          <w:sz w:val="20"/>
          <w:szCs w:val="20"/>
        </w:rPr>
        <w:t xml:space="preserve"> </w:t>
      </w:r>
      <w:r w:rsidRPr="00182E23">
        <w:rPr>
          <w:rFonts w:ascii="GHEA Grapalat" w:hAnsi="GHEA Grapalat" w:cs="Calibri"/>
          <w:color w:val="2F5496"/>
          <w:sz w:val="20"/>
          <w:szCs w:val="20"/>
          <w:u w:val="single"/>
        </w:rPr>
        <w:t>https://www.fatf-gafi.org/media/fatf/documents/recommendations/pdfs/FATF-40-Rec-2012-Armenian.pdf</w:t>
      </w:r>
      <w:r w:rsidRPr="00182E23">
        <w:rPr>
          <w:rFonts w:ascii="GHEA Grapalat" w:hAnsi="GHEA Grapalat" w:cs="Calibri"/>
          <w:color w:val="2F5496"/>
          <w:sz w:val="20"/>
          <w:szCs w:val="20"/>
        </w:rPr>
        <w:t xml:space="preserve"> </w:t>
      </w:r>
      <w:sdt>
        <w:sdtPr>
          <w:rPr>
            <w:rFonts w:ascii="GHEA Grapalat" w:hAnsi="GHEA Grapalat"/>
          </w:rPr>
          <w:tag w:val="goog_rdk_1"/>
          <w:id w:val="773438462"/>
        </w:sdtPr>
        <w:sdtContent>
          <w:r w:rsidRPr="00182E23">
            <w:rPr>
              <w:rFonts w:ascii="GHEA Grapalat" w:eastAsia="Tahoma" w:hAnsi="GHEA Grapalat" w:cs="Tahoma"/>
              <w:color w:val="000000"/>
              <w:sz w:val="20"/>
              <w:szCs w:val="20"/>
            </w:rPr>
            <w:t>էջ</w:t>
          </w:r>
        </w:sdtContent>
      </w:sdt>
      <w:r w:rsidRPr="00182E23">
        <w:rPr>
          <w:rFonts w:ascii="GHEA Grapalat" w:hAnsi="GHEA Grapalat" w:cs="Calibri"/>
          <w:color w:val="000000"/>
          <w:sz w:val="20"/>
          <w:szCs w:val="20"/>
        </w:rPr>
        <w:t xml:space="preserve"> 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E8" w:rsidRPr="00182E23" w:rsidRDefault="002902BF" w:rsidP="002902BF">
    <w:pPr>
      <w:pStyle w:val="Header"/>
      <w:jc w:val="right"/>
      <w:rPr>
        <w:rFonts w:ascii="GHEA Grapalat" w:hAnsi="GHEA Grapalat"/>
        <w:b/>
        <w:sz w:val="24"/>
        <w:szCs w:val="24"/>
        <w:lang w:val="hy-AM"/>
      </w:rPr>
    </w:pPr>
    <w:r w:rsidRPr="00182E23">
      <w:rPr>
        <w:rFonts w:ascii="GHEA Grapalat" w:hAnsi="GHEA Grapalat"/>
        <w:b/>
        <w:sz w:val="24"/>
        <w:szCs w:val="24"/>
        <w:lang w:val="hy-AM"/>
      </w:rPr>
      <w:t>ՆԱԽԱԳԻԾ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13C7"/>
    <w:multiLevelType w:val="hybridMultilevel"/>
    <w:tmpl w:val="31D884D2"/>
    <w:lvl w:ilvl="0" w:tplc="E5FA231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40710"/>
    <w:multiLevelType w:val="hybridMultilevel"/>
    <w:tmpl w:val="FD9E54D2"/>
    <w:lvl w:ilvl="0" w:tplc="0C125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0AB1F5F"/>
    <w:multiLevelType w:val="multilevel"/>
    <w:tmpl w:val="88C6A0C4"/>
    <w:lvl w:ilvl="0">
      <w:numFmt w:val="bullet"/>
      <w:lvlText w:val="-"/>
      <w:lvlJc w:val="left"/>
      <w:pPr>
        <w:ind w:left="928" w:hanging="360"/>
      </w:pPr>
      <w:rPr>
        <w:rFonts w:ascii="Arial Unicode" w:eastAsia="Arial Unicode" w:hAnsi="Arial Unicode" w:cs="Arial Unicode"/>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
    <w:nsid w:val="79E17B42"/>
    <w:multiLevelType w:val="hybridMultilevel"/>
    <w:tmpl w:val="B45A8E64"/>
    <w:lvl w:ilvl="0" w:tplc="045A5EB0">
      <w:start w:val="1"/>
      <w:numFmt w:val="bullet"/>
      <w:lvlText w:val=""/>
      <w:lvlJc w:val="left"/>
      <w:pPr>
        <w:ind w:left="786" w:hanging="360"/>
      </w:pPr>
      <w:rPr>
        <w:rFonts w:ascii="Wingdings" w:hAnsi="Wingdings" w:hint="default"/>
        <w:lang w:val="hy-AM"/>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cumentProtection w:edit="trackedChanges" w:enforcement="0"/>
  <w:defaultTabStop w:val="708"/>
  <w:characterSpacingControl w:val="doNotCompress"/>
  <w:footnotePr>
    <w:footnote w:id="-1"/>
    <w:footnote w:id="0"/>
  </w:footnotePr>
  <w:endnotePr>
    <w:endnote w:id="-1"/>
    <w:endnote w:id="0"/>
  </w:endnotePr>
  <w:compat/>
  <w:rsids>
    <w:rsidRoot w:val="005F5950"/>
    <w:rsid w:val="00000461"/>
    <w:rsid w:val="0000214B"/>
    <w:rsid w:val="000035F8"/>
    <w:rsid w:val="0002185D"/>
    <w:rsid w:val="00040E15"/>
    <w:rsid w:val="000A2B05"/>
    <w:rsid w:val="000B4B99"/>
    <w:rsid w:val="000D10AC"/>
    <w:rsid w:val="000E2EE6"/>
    <w:rsid w:val="000E6664"/>
    <w:rsid w:val="001015D1"/>
    <w:rsid w:val="0010356D"/>
    <w:rsid w:val="00112B22"/>
    <w:rsid w:val="00113F07"/>
    <w:rsid w:val="001465C8"/>
    <w:rsid w:val="00152ECF"/>
    <w:rsid w:val="00182591"/>
    <w:rsid w:val="00182E23"/>
    <w:rsid w:val="001842AF"/>
    <w:rsid w:val="00195B35"/>
    <w:rsid w:val="001A6888"/>
    <w:rsid w:val="001C1BA1"/>
    <w:rsid w:val="001D185A"/>
    <w:rsid w:val="001D2558"/>
    <w:rsid w:val="001F0129"/>
    <w:rsid w:val="00210E04"/>
    <w:rsid w:val="00224EAD"/>
    <w:rsid w:val="002352EB"/>
    <w:rsid w:val="0027390B"/>
    <w:rsid w:val="002902BF"/>
    <w:rsid w:val="002919BB"/>
    <w:rsid w:val="002A7996"/>
    <w:rsid w:val="00303D5F"/>
    <w:rsid w:val="00395C01"/>
    <w:rsid w:val="003A2490"/>
    <w:rsid w:val="003A665A"/>
    <w:rsid w:val="003C29F0"/>
    <w:rsid w:val="003D3C1D"/>
    <w:rsid w:val="003F0DA6"/>
    <w:rsid w:val="0041172D"/>
    <w:rsid w:val="00415B60"/>
    <w:rsid w:val="00445CEA"/>
    <w:rsid w:val="004943E6"/>
    <w:rsid w:val="004C6A02"/>
    <w:rsid w:val="004E510E"/>
    <w:rsid w:val="00501AFD"/>
    <w:rsid w:val="00505870"/>
    <w:rsid w:val="00506C60"/>
    <w:rsid w:val="00541E1C"/>
    <w:rsid w:val="00552B63"/>
    <w:rsid w:val="0055343C"/>
    <w:rsid w:val="005605D7"/>
    <w:rsid w:val="00564DE7"/>
    <w:rsid w:val="005805C2"/>
    <w:rsid w:val="00581151"/>
    <w:rsid w:val="005F03E6"/>
    <w:rsid w:val="005F3745"/>
    <w:rsid w:val="005F5950"/>
    <w:rsid w:val="00600563"/>
    <w:rsid w:val="00610899"/>
    <w:rsid w:val="0062371B"/>
    <w:rsid w:val="00641BE9"/>
    <w:rsid w:val="006A2274"/>
    <w:rsid w:val="006B1B15"/>
    <w:rsid w:val="006B4513"/>
    <w:rsid w:val="006B694F"/>
    <w:rsid w:val="00701CB9"/>
    <w:rsid w:val="007046B6"/>
    <w:rsid w:val="00716459"/>
    <w:rsid w:val="00725EF3"/>
    <w:rsid w:val="00731133"/>
    <w:rsid w:val="00741100"/>
    <w:rsid w:val="00741469"/>
    <w:rsid w:val="00750889"/>
    <w:rsid w:val="00751BBF"/>
    <w:rsid w:val="00764E8B"/>
    <w:rsid w:val="007705C8"/>
    <w:rsid w:val="007B2F56"/>
    <w:rsid w:val="007C0ED6"/>
    <w:rsid w:val="007F090B"/>
    <w:rsid w:val="007F0B5D"/>
    <w:rsid w:val="007F1B6E"/>
    <w:rsid w:val="007F1FF5"/>
    <w:rsid w:val="00803CC8"/>
    <w:rsid w:val="00807680"/>
    <w:rsid w:val="00813DF7"/>
    <w:rsid w:val="008141D0"/>
    <w:rsid w:val="008235A1"/>
    <w:rsid w:val="00823848"/>
    <w:rsid w:val="00847E1F"/>
    <w:rsid w:val="008D09E3"/>
    <w:rsid w:val="008D154F"/>
    <w:rsid w:val="008E53D6"/>
    <w:rsid w:val="008F03F5"/>
    <w:rsid w:val="009030D2"/>
    <w:rsid w:val="0090498F"/>
    <w:rsid w:val="00924402"/>
    <w:rsid w:val="00924CA9"/>
    <w:rsid w:val="00942FB7"/>
    <w:rsid w:val="00944990"/>
    <w:rsid w:val="009716FD"/>
    <w:rsid w:val="009E5532"/>
    <w:rsid w:val="009F2BF0"/>
    <w:rsid w:val="009F5ED8"/>
    <w:rsid w:val="00A05467"/>
    <w:rsid w:val="00A13601"/>
    <w:rsid w:val="00A26D9A"/>
    <w:rsid w:val="00A27011"/>
    <w:rsid w:val="00A27CE9"/>
    <w:rsid w:val="00A362B7"/>
    <w:rsid w:val="00A726A3"/>
    <w:rsid w:val="00A80C16"/>
    <w:rsid w:val="00A81BAA"/>
    <w:rsid w:val="00A909F4"/>
    <w:rsid w:val="00AC712C"/>
    <w:rsid w:val="00AD0B4B"/>
    <w:rsid w:val="00B3503B"/>
    <w:rsid w:val="00B37209"/>
    <w:rsid w:val="00B50575"/>
    <w:rsid w:val="00B70AFF"/>
    <w:rsid w:val="00B85DDD"/>
    <w:rsid w:val="00B86B72"/>
    <w:rsid w:val="00B93050"/>
    <w:rsid w:val="00B93A67"/>
    <w:rsid w:val="00BA512C"/>
    <w:rsid w:val="00BB30E9"/>
    <w:rsid w:val="00BB76F9"/>
    <w:rsid w:val="00C0095C"/>
    <w:rsid w:val="00C041E8"/>
    <w:rsid w:val="00C17DF4"/>
    <w:rsid w:val="00C331A2"/>
    <w:rsid w:val="00C53D8B"/>
    <w:rsid w:val="00C6559E"/>
    <w:rsid w:val="00C7213B"/>
    <w:rsid w:val="00C811BC"/>
    <w:rsid w:val="00CA309C"/>
    <w:rsid w:val="00CB28A4"/>
    <w:rsid w:val="00CB6C58"/>
    <w:rsid w:val="00CE3AF7"/>
    <w:rsid w:val="00D02A3D"/>
    <w:rsid w:val="00D06ED6"/>
    <w:rsid w:val="00D24649"/>
    <w:rsid w:val="00D5085A"/>
    <w:rsid w:val="00D56C4C"/>
    <w:rsid w:val="00D7605E"/>
    <w:rsid w:val="00D76FBB"/>
    <w:rsid w:val="00DA1BB1"/>
    <w:rsid w:val="00DA6F9A"/>
    <w:rsid w:val="00DB196C"/>
    <w:rsid w:val="00DF7683"/>
    <w:rsid w:val="00E12D81"/>
    <w:rsid w:val="00E55D0D"/>
    <w:rsid w:val="00E746A2"/>
    <w:rsid w:val="00EB46C6"/>
    <w:rsid w:val="00F66BC3"/>
    <w:rsid w:val="00F74FEB"/>
    <w:rsid w:val="00F82DDA"/>
    <w:rsid w:val="00F86107"/>
    <w:rsid w:val="00FC1BF1"/>
    <w:rsid w:val="00FC55DD"/>
    <w:rsid w:val="00FD32C1"/>
    <w:rsid w:val="00FD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Char11,Normal (Web) Char Char1,Char11 Char1,Char Char Char1,Char11 Char1 Char1"/>
    <w:basedOn w:val="Normal"/>
    <w:link w:val="NormalWebChar"/>
    <w:uiPriority w:val="99"/>
    <w:unhideWhenUsed/>
    <w:qFormat/>
    <w:rsid w:val="00F6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C041E8"/>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41E8"/>
  </w:style>
  <w:style w:type="paragraph" w:styleId="Footer">
    <w:name w:val="footer"/>
    <w:basedOn w:val="Normal"/>
    <w:link w:val="FooterChar"/>
    <w:uiPriority w:val="99"/>
    <w:unhideWhenUsed/>
    <w:rsid w:val="00C041E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041E8"/>
  </w:style>
  <w:style w:type="paragraph" w:styleId="ListParagraph">
    <w:name w:val="List Paragraph"/>
    <w:basedOn w:val="Normal"/>
    <w:uiPriority w:val="34"/>
    <w:qFormat/>
    <w:rsid w:val="008E53D6"/>
    <w:pPr>
      <w:ind w:left="720"/>
      <w:contextualSpacing/>
    </w:pPr>
  </w:style>
  <w:style w:type="character" w:styleId="FootnoteReference">
    <w:name w:val="footnote reference"/>
    <w:basedOn w:val="DefaultParagraphFont"/>
    <w:uiPriority w:val="99"/>
    <w:semiHidden/>
    <w:unhideWhenUsed/>
    <w:rsid w:val="00415B60"/>
    <w:rPr>
      <w:vertAlign w:val="superscript"/>
    </w:rPr>
  </w:style>
  <w:style w:type="paragraph" w:styleId="BalloonText">
    <w:name w:val="Balloon Text"/>
    <w:basedOn w:val="Normal"/>
    <w:link w:val="BalloonTextChar"/>
    <w:uiPriority w:val="99"/>
    <w:semiHidden/>
    <w:unhideWhenUsed/>
    <w:rsid w:val="009F2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BF0"/>
    <w:rPr>
      <w:rFonts w:ascii="Segoe UI" w:hAnsi="Segoe UI" w:cs="Segoe UI"/>
      <w:sz w:val="18"/>
      <w:szCs w:val="18"/>
    </w:rPr>
  </w:style>
  <w:style w:type="character" w:styleId="Strong">
    <w:name w:val="Strong"/>
    <w:basedOn w:val="DefaultParagraphFont"/>
    <w:uiPriority w:val="22"/>
    <w:qFormat/>
    <w:rsid w:val="00924CA9"/>
    <w:rPr>
      <w:b/>
      <w:bCs/>
    </w:rPr>
  </w:style>
  <w:style w:type="character" w:styleId="CommentReference">
    <w:name w:val="annotation reference"/>
    <w:basedOn w:val="DefaultParagraphFont"/>
    <w:uiPriority w:val="99"/>
    <w:semiHidden/>
    <w:unhideWhenUsed/>
    <w:rsid w:val="00E746A2"/>
    <w:rPr>
      <w:sz w:val="16"/>
      <w:szCs w:val="16"/>
    </w:rPr>
  </w:style>
  <w:style w:type="paragraph" w:styleId="CommentText">
    <w:name w:val="annotation text"/>
    <w:basedOn w:val="Normal"/>
    <w:link w:val="CommentTextChar"/>
    <w:uiPriority w:val="99"/>
    <w:semiHidden/>
    <w:unhideWhenUsed/>
    <w:rsid w:val="00E746A2"/>
    <w:pPr>
      <w:spacing w:line="240" w:lineRule="auto"/>
    </w:pPr>
    <w:rPr>
      <w:sz w:val="20"/>
      <w:szCs w:val="20"/>
    </w:rPr>
  </w:style>
  <w:style w:type="character" w:customStyle="1" w:styleId="CommentTextChar">
    <w:name w:val="Comment Text Char"/>
    <w:basedOn w:val="DefaultParagraphFont"/>
    <w:link w:val="CommentText"/>
    <w:uiPriority w:val="99"/>
    <w:semiHidden/>
    <w:rsid w:val="00E746A2"/>
    <w:rPr>
      <w:sz w:val="20"/>
      <w:szCs w:val="20"/>
    </w:rPr>
  </w:style>
  <w:style w:type="paragraph" w:styleId="CommentSubject">
    <w:name w:val="annotation subject"/>
    <w:basedOn w:val="CommentText"/>
    <w:next w:val="CommentText"/>
    <w:link w:val="CommentSubjectChar"/>
    <w:uiPriority w:val="99"/>
    <w:semiHidden/>
    <w:unhideWhenUsed/>
    <w:rsid w:val="00E746A2"/>
    <w:rPr>
      <w:b/>
      <w:bCs/>
    </w:rPr>
  </w:style>
  <w:style w:type="character" w:customStyle="1" w:styleId="CommentSubjectChar">
    <w:name w:val="Comment Subject Char"/>
    <w:basedOn w:val="CommentTextChar"/>
    <w:link w:val="CommentSubject"/>
    <w:uiPriority w:val="99"/>
    <w:semiHidden/>
    <w:rsid w:val="00E746A2"/>
    <w:rPr>
      <w:b/>
      <w:bCs/>
      <w:sz w:val="20"/>
      <w:szCs w:val="20"/>
    </w:rPr>
  </w:style>
  <w:style w:type="character" w:customStyle="1" w:styleId="NormalWebChar">
    <w:name w:val="Normal (Web) Char"/>
    <w:aliases w:val="webb Char, webb Char,Char11 Char,Normal (Web) Char Char1 Char,Char11 Char1 Char,Char Char Char1 Char,Char11 Char1 Char1 Char"/>
    <w:link w:val="NormalWeb"/>
    <w:uiPriority w:val="99"/>
    <w:locked/>
    <w:rsid w:val="00764E8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6638947">
      <w:bodyDiv w:val="1"/>
      <w:marLeft w:val="0"/>
      <w:marRight w:val="0"/>
      <w:marTop w:val="0"/>
      <w:marBottom w:val="0"/>
      <w:divBdr>
        <w:top w:val="none" w:sz="0" w:space="0" w:color="auto"/>
        <w:left w:val="none" w:sz="0" w:space="0" w:color="auto"/>
        <w:bottom w:val="none" w:sz="0" w:space="0" w:color="auto"/>
        <w:right w:val="none" w:sz="0" w:space="0" w:color="auto"/>
      </w:divBdr>
    </w:div>
    <w:div w:id="1804809096">
      <w:bodyDiv w:val="1"/>
      <w:marLeft w:val="0"/>
      <w:marRight w:val="0"/>
      <w:marTop w:val="0"/>
      <w:marBottom w:val="0"/>
      <w:divBdr>
        <w:top w:val="none" w:sz="0" w:space="0" w:color="auto"/>
        <w:left w:val="none" w:sz="0" w:space="0" w:color="auto"/>
        <w:bottom w:val="none" w:sz="0" w:space="0" w:color="auto"/>
        <w:right w:val="none" w:sz="0" w:space="0" w:color="auto"/>
      </w:divBdr>
    </w:div>
    <w:div w:id="18965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D2084-D341-4072-8DD7-A4E47725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11</Pages>
  <Words>2701</Words>
  <Characters>15400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N-Melkonyan</cp:lastModifiedBy>
  <cp:revision>83</cp:revision>
  <cp:lastPrinted>2022-11-07T10:21:00Z</cp:lastPrinted>
  <dcterms:created xsi:type="dcterms:W3CDTF">2022-08-11T10:51:00Z</dcterms:created>
  <dcterms:modified xsi:type="dcterms:W3CDTF">2022-11-10T10:49:00Z</dcterms:modified>
</cp:coreProperties>
</file>