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60EE" w14:textId="77777777" w:rsidR="00A90F8F" w:rsidRDefault="00A90F8F" w:rsidP="00C06AF5">
      <w:pPr>
        <w:spacing w:line="360" w:lineRule="auto"/>
        <w:jc w:val="center"/>
        <w:rPr>
          <w:rFonts w:ascii="GHEA Grapalat" w:hAnsi="GHEA Grapalat"/>
          <w:sz w:val="24"/>
          <w:szCs w:val="24"/>
        </w:rPr>
      </w:pPr>
    </w:p>
    <w:p w14:paraId="77ECE186" w14:textId="04B1F799" w:rsidR="00C06AF5" w:rsidRPr="003B1DDA" w:rsidRDefault="00C06AF5" w:rsidP="00C06AF5">
      <w:pPr>
        <w:spacing w:line="360" w:lineRule="auto"/>
        <w:jc w:val="center"/>
        <w:rPr>
          <w:rFonts w:ascii="GHEA Grapalat" w:hAnsi="GHEA Grapalat"/>
          <w:sz w:val="24"/>
          <w:szCs w:val="24"/>
        </w:rPr>
      </w:pPr>
      <w:r w:rsidRPr="003B1DDA">
        <w:rPr>
          <w:rFonts w:ascii="GHEA Grapalat" w:hAnsi="GHEA Grapalat"/>
          <w:sz w:val="24"/>
          <w:szCs w:val="24"/>
        </w:rPr>
        <w:t>ԱՄՓՈՓԱԹԵՐԹ</w:t>
      </w:r>
    </w:p>
    <w:p w14:paraId="55A9013F" w14:textId="17B8C8AB" w:rsidR="00661268" w:rsidRDefault="00046ED2" w:rsidP="00F900BA">
      <w:pPr>
        <w:spacing w:line="360" w:lineRule="auto"/>
        <w:jc w:val="center"/>
        <w:rPr>
          <w:rFonts w:ascii="GHEA Grapalat" w:eastAsia="NSimSun" w:hAnsi="GHEA Grapalat" w:cs="Sylfaen"/>
          <w:kern w:val="2"/>
          <w:sz w:val="24"/>
          <w:szCs w:val="24"/>
          <w:lang w:val="hy-AM" w:eastAsia="zh-CN" w:bidi="hi-IN"/>
        </w:rPr>
      </w:pPr>
      <w:r w:rsidRPr="00046ED2">
        <w:rPr>
          <w:rFonts w:ascii="GHEA Grapalat" w:eastAsia="NSimSun" w:hAnsi="GHEA Grapalat" w:cs="Sylfaen"/>
          <w:kern w:val="2"/>
          <w:sz w:val="24"/>
          <w:szCs w:val="24"/>
          <w:lang w:val="hy-AM" w:eastAsia="zh-CN" w:bidi="hi-IN"/>
        </w:rPr>
        <w:t>2023 ԹՎԱԿԱՆԻ ԸՆԹԱՑՔՈՒՄ ՍԵՐԲԻԱՅԻ ՀԱՆՐԱՊԵՏՈՒԹՅՈՒՆԻՑ ՀԱՅԱՍՏԱՆԻ ՀԱՆՐԱՊԵՏՈՒԹՅԱՆ ՏԱՐԱԾՔ ՆԵՐՄՈՒԾՎՈՂ ՍԵՐԲԻԱԿԱՆ ԾԱԳՈՒՄ ՈՒՆԵՑՈՂ ԱՌԱՆՁԻՆ ՏԵՍԱԿԻ ԱՊՐԱՆՔՆԵՐԻ ՆԿԱՏՄԱՄԲ ՍԱԿԱԳՆԱՅԻՆ ՔՎՈՏԱ ՍԱՀՄԱՆԵԼՈՒ, ՆԵՐՄՈՒԾՄԱՆ ԼԻՑԵՆԶԻԱՅԻ ԸՆԹԱՑԱԿԱՐԳԸ, ՄԵԿԱՆԳԱՄՅԱ ԵՎ ԳԼԽԱՎՈՐ ԼԻՑԵՆԶԻԱՆԵՐԻ ՁԵՎԵՐԸ ՀԱՍՏԱՏԵԼՈՒ ՄԱՍԻՆ</w:t>
      </w:r>
      <w:r>
        <w:rPr>
          <w:rFonts w:ascii="GHEA Grapalat" w:eastAsia="NSimSun" w:hAnsi="GHEA Grapalat" w:cs="Sylfaen"/>
          <w:kern w:val="2"/>
          <w:sz w:val="24"/>
          <w:szCs w:val="24"/>
          <w:lang w:val="hy-AM" w:eastAsia="zh-CN" w:bidi="hi-IN"/>
        </w:rPr>
        <w:t xml:space="preserve"> </w:t>
      </w:r>
      <w:r w:rsidRPr="00821495">
        <w:rPr>
          <w:rFonts w:ascii="GHEA Grapalat" w:eastAsia="NSimSun" w:hAnsi="GHEA Grapalat" w:cs="Sylfaen"/>
          <w:kern w:val="2"/>
          <w:sz w:val="24"/>
          <w:szCs w:val="24"/>
          <w:lang w:val="hy-AM" w:eastAsia="zh-CN" w:bidi="hi-IN"/>
        </w:rPr>
        <w:t>ՀԱՅԱՍՏԱՆԻ ՀԱՆՐԱՊԵՏՈՒԹՅԱՆ ԿԱՌԱՎԱՐՈՒԹՅԱՆ ՈՐՈՇՄԱՆ ՆԱԽԱԳ</w:t>
      </w:r>
      <w:r>
        <w:rPr>
          <w:rFonts w:ascii="GHEA Grapalat" w:eastAsia="NSimSun" w:hAnsi="GHEA Grapalat" w:cs="Sylfaen"/>
          <w:kern w:val="2"/>
          <w:sz w:val="24"/>
          <w:szCs w:val="24"/>
          <w:lang w:val="hy-AM" w:eastAsia="zh-CN" w:bidi="hi-IN"/>
        </w:rPr>
        <w:t>ԾԻ</w:t>
      </w:r>
    </w:p>
    <w:p w14:paraId="1D39CA8C" w14:textId="4D1C1D13" w:rsidR="00A90F8F" w:rsidRDefault="00A90F8F" w:rsidP="00F900BA">
      <w:pPr>
        <w:spacing w:line="360" w:lineRule="auto"/>
        <w:jc w:val="center"/>
        <w:rPr>
          <w:rFonts w:ascii="GHEA Grapalat" w:eastAsia="NSimSun" w:hAnsi="GHEA Grapalat" w:cs="Sylfaen"/>
          <w:kern w:val="2"/>
          <w:sz w:val="24"/>
          <w:szCs w:val="24"/>
          <w:lang w:val="hy-AM" w:eastAsia="zh-CN" w:bidi="hi-IN"/>
        </w:rPr>
      </w:pPr>
    </w:p>
    <w:p w14:paraId="4A942EEE" w14:textId="77777777" w:rsidR="00A90F8F" w:rsidRPr="00676E4C" w:rsidRDefault="00A90F8F" w:rsidP="00F900BA">
      <w:pPr>
        <w:spacing w:line="360" w:lineRule="auto"/>
        <w:jc w:val="center"/>
        <w:rPr>
          <w:lang w:val="hy-AM"/>
        </w:rPr>
      </w:pPr>
    </w:p>
    <w:tbl>
      <w:tblPr>
        <w:tblW w:w="1399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70"/>
        <w:gridCol w:w="52"/>
        <w:gridCol w:w="4752"/>
        <w:gridCol w:w="2025"/>
      </w:tblGrid>
      <w:tr w:rsidR="00C06AF5" w:rsidRPr="003B1DDA" w14:paraId="6BE56CB3" w14:textId="77777777" w:rsidTr="0086253F">
        <w:trPr>
          <w:tblCellSpacing w:w="0" w:type="dxa"/>
          <w:jc w:val="center"/>
        </w:trPr>
        <w:tc>
          <w:tcPr>
            <w:tcW w:w="1197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44B2A7BC" w14:textId="77777777" w:rsidR="00C06AF5" w:rsidRPr="003B1DDA" w:rsidRDefault="00C06AF5" w:rsidP="000E0FD5">
            <w:pPr>
              <w:spacing w:line="360" w:lineRule="auto"/>
              <w:rPr>
                <w:rFonts w:ascii="GHEA Grapalat" w:hAnsi="GHEA Grapalat"/>
                <w:sz w:val="24"/>
                <w:szCs w:val="24"/>
                <w:lang w:val="hy-AM"/>
              </w:rPr>
            </w:pPr>
            <w:bookmarkStart w:id="0" w:name="_Hlk88664691"/>
          </w:p>
          <w:p w14:paraId="14D9B662" w14:textId="291F0A34" w:rsidR="00C06AF5" w:rsidRPr="003B1DDA" w:rsidRDefault="0086253F" w:rsidP="00D74BBA">
            <w:pPr>
              <w:spacing w:line="360" w:lineRule="auto"/>
              <w:jc w:val="center"/>
              <w:rPr>
                <w:rFonts w:ascii="GHEA Grapalat" w:hAnsi="GHEA Grapalat"/>
                <w:sz w:val="24"/>
                <w:szCs w:val="24"/>
                <w:lang w:val="hy-AM"/>
              </w:rPr>
            </w:pPr>
            <w:r>
              <w:rPr>
                <w:rFonts w:ascii="GHEA Grapalat" w:hAnsi="GHEA Grapalat"/>
                <w:sz w:val="24"/>
                <w:szCs w:val="24"/>
                <w:lang w:val="hy-AM"/>
              </w:rPr>
              <w:t>1</w:t>
            </w:r>
            <w:r>
              <w:rPr>
                <w:rFonts w:ascii="Cambria Math" w:hAnsi="Cambria Math"/>
                <w:sz w:val="24"/>
                <w:szCs w:val="24"/>
                <w:lang w:val="hy-AM"/>
              </w:rPr>
              <w:t xml:space="preserve">․ </w:t>
            </w:r>
            <w:r w:rsidR="00D74BBA" w:rsidRPr="00D74BBA">
              <w:rPr>
                <w:rFonts w:ascii="GHEA Grapalat" w:hAnsi="GHEA Grapalat"/>
                <w:sz w:val="24"/>
                <w:szCs w:val="24"/>
                <w:lang w:val="hy-AM"/>
              </w:rPr>
              <w:t xml:space="preserve">ՀՀ </w:t>
            </w:r>
            <w:r w:rsidR="00DC02B4">
              <w:rPr>
                <w:rFonts w:ascii="GHEA Grapalat" w:hAnsi="GHEA Grapalat"/>
                <w:sz w:val="24"/>
                <w:szCs w:val="24"/>
                <w:lang w:val="hy-AM"/>
              </w:rPr>
              <w:t>ֆինանսների նախարարություն</w:t>
            </w: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7F369455" w14:textId="2A1F7538" w:rsidR="00C06AF5" w:rsidRPr="0045039B" w:rsidRDefault="0045039B" w:rsidP="000E0FD5">
            <w:pPr>
              <w:spacing w:line="360" w:lineRule="auto"/>
              <w:jc w:val="center"/>
              <w:rPr>
                <w:rFonts w:ascii="GHEA Grapalat" w:hAnsi="GHEA Grapalat"/>
                <w:sz w:val="24"/>
                <w:szCs w:val="24"/>
                <w:lang w:val="hy-AM"/>
              </w:rPr>
            </w:pPr>
            <w:r w:rsidRPr="0045039B">
              <w:rPr>
                <w:rFonts w:ascii="GHEA Grapalat" w:hAnsi="GHEA Grapalat" w:cs="Cambria Math"/>
                <w:sz w:val="24"/>
                <w:szCs w:val="24"/>
                <w:lang w:val="hy-AM"/>
              </w:rPr>
              <w:t>21</w:t>
            </w:r>
            <w:r w:rsidR="008900C7" w:rsidRPr="0045039B">
              <w:rPr>
                <w:rFonts w:ascii="Cambria Math" w:hAnsi="Cambria Math" w:cs="Cambria Math"/>
                <w:sz w:val="24"/>
                <w:szCs w:val="24"/>
                <w:lang w:val="hy-AM"/>
              </w:rPr>
              <w:t>․</w:t>
            </w:r>
            <w:r w:rsidR="00B5207E" w:rsidRPr="0045039B">
              <w:rPr>
                <w:rFonts w:ascii="GHEA Grapalat" w:hAnsi="GHEA Grapalat" w:cs="Cambria Math"/>
                <w:sz w:val="24"/>
                <w:szCs w:val="24"/>
                <w:lang w:val="hy-AM"/>
              </w:rPr>
              <w:t>10</w:t>
            </w:r>
            <w:r w:rsidR="008900C7" w:rsidRPr="0045039B">
              <w:rPr>
                <w:rFonts w:ascii="Cambria Math" w:hAnsi="Cambria Math" w:cs="Cambria Math"/>
                <w:sz w:val="24"/>
                <w:szCs w:val="24"/>
                <w:lang w:val="hy-AM"/>
              </w:rPr>
              <w:t>․</w:t>
            </w:r>
            <w:r w:rsidR="008900C7" w:rsidRPr="0045039B">
              <w:rPr>
                <w:rFonts w:ascii="GHEA Grapalat" w:hAnsi="GHEA Grapalat"/>
                <w:sz w:val="24"/>
                <w:szCs w:val="24"/>
                <w:lang w:val="hy-AM"/>
              </w:rPr>
              <w:t>202</w:t>
            </w:r>
            <w:r w:rsidR="00C359A7" w:rsidRPr="0045039B">
              <w:rPr>
                <w:rFonts w:ascii="GHEA Grapalat" w:hAnsi="GHEA Grapalat"/>
                <w:sz w:val="24"/>
                <w:szCs w:val="24"/>
                <w:lang w:val="hy-AM"/>
              </w:rPr>
              <w:t>2</w:t>
            </w:r>
            <w:r w:rsidR="008900C7" w:rsidRPr="0045039B">
              <w:rPr>
                <w:rFonts w:ascii="GHEA Grapalat" w:hAnsi="GHEA Grapalat"/>
                <w:sz w:val="24"/>
                <w:szCs w:val="24"/>
                <w:lang w:val="hy-AM"/>
              </w:rPr>
              <w:t>թ</w:t>
            </w:r>
            <w:r w:rsidR="008900C7" w:rsidRPr="0045039B">
              <w:rPr>
                <w:rFonts w:ascii="Cambria Math" w:hAnsi="Cambria Math" w:cs="Cambria Math"/>
                <w:sz w:val="24"/>
                <w:szCs w:val="24"/>
                <w:lang w:val="hy-AM"/>
              </w:rPr>
              <w:t>․</w:t>
            </w:r>
          </w:p>
        </w:tc>
      </w:tr>
      <w:tr w:rsidR="00C06AF5" w:rsidRPr="003B1DDA" w14:paraId="0C043B9F" w14:textId="77777777" w:rsidTr="0086253F">
        <w:trPr>
          <w:trHeight w:val="376"/>
          <w:tblCellSpacing w:w="0" w:type="dxa"/>
          <w:jc w:val="center"/>
        </w:trPr>
        <w:tc>
          <w:tcPr>
            <w:tcW w:w="1197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87F78D" w14:textId="77777777" w:rsidR="00C06AF5" w:rsidRPr="003B1DDA" w:rsidRDefault="00C06AF5" w:rsidP="000E0FD5">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0A30C50D" w14:textId="15866507" w:rsidR="00C06AF5" w:rsidRPr="0045039B" w:rsidRDefault="008900C7" w:rsidP="000E0FD5">
            <w:pPr>
              <w:spacing w:line="360" w:lineRule="auto"/>
              <w:jc w:val="center"/>
              <w:rPr>
                <w:rFonts w:ascii="GHEA Grapalat" w:hAnsi="GHEA Grapalat"/>
                <w:sz w:val="24"/>
                <w:szCs w:val="24"/>
              </w:rPr>
            </w:pPr>
            <w:r w:rsidRPr="0045039B">
              <w:rPr>
                <w:rFonts w:ascii="GHEA Grapalat" w:hAnsi="GHEA Grapalat"/>
                <w:sz w:val="24"/>
                <w:szCs w:val="24"/>
              </w:rPr>
              <w:t>№</w:t>
            </w:r>
            <w:r w:rsidR="00C359A7" w:rsidRPr="0045039B">
              <w:rPr>
                <w:rFonts w:ascii="GHEA Grapalat" w:hAnsi="GHEA Grapalat"/>
              </w:rPr>
              <w:t xml:space="preserve"> </w:t>
            </w:r>
            <w:r w:rsidR="0045039B" w:rsidRPr="0045039B">
              <w:rPr>
                <w:rFonts w:ascii="GHEA Grapalat" w:hAnsi="GHEA Grapalat"/>
                <w:sz w:val="24"/>
                <w:szCs w:val="24"/>
              </w:rPr>
              <w:t>01/2-1/18292-2022</w:t>
            </w:r>
          </w:p>
        </w:tc>
      </w:tr>
      <w:bookmarkEnd w:id="0"/>
      <w:tr w:rsidR="00661268" w:rsidRPr="003B1DDA" w14:paraId="0BF4081C" w14:textId="3AB5ACEA" w:rsidTr="00661268">
        <w:trPr>
          <w:trHeight w:val="376"/>
          <w:tblCellSpacing w:w="0" w:type="dxa"/>
          <w:jc w:val="center"/>
        </w:trPr>
        <w:tc>
          <w:tcPr>
            <w:tcW w:w="7170" w:type="dxa"/>
            <w:tcBorders>
              <w:top w:val="outset" w:sz="6" w:space="0" w:color="auto"/>
              <w:left w:val="outset" w:sz="6" w:space="0" w:color="auto"/>
              <w:bottom w:val="outset" w:sz="6" w:space="0" w:color="auto"/>
              <w:right w:val="outset" w:sz="6" w:space="0" w:color="auto"/>
            </w:tcBorders>
            <w:shd w:val="clear" w:color="auto" w:fill="FFFFFF"/>
            <w:vAlign w:val="center"/>
          </w:tcPr>
          <w:p w14:paraId="5A9C8918" w14:textId="77777777" w:rsidR="0045039B" w:rsidRDefault="0045039B" w:rsidP="0045039B">
            <w:pPr>
              <w:spacing w:before="120" w:after="0" w:line="360" w:lineRule="auto"/>
              <w:ind w:firstLine="567"/>
              <w:jc w:val="both"/>
              <w:rPr>
                <w:rFonts w:ascii="GHEA Grapalat" w:eastAsia="SimSun" w:hAnsi="GHEA Grapalat" w:cs="Sylfaen"/>
                <w:sz w:val="20"/>
                <w:szCs w:val="24"/>
                <w:lang w:val="hy-AM"/>
              </w:rPr>
            </w:pPr>
            <w:r>
              <w:rPr>
                <w:rFonts w:ascii="GHEA Grapalat" w:hAnsi="GHEA Grapalat" w:cs="Sylfaen"/>
                <w:sz w:val="24"/>
                <w:szCs w:val="24"/>
                <w:lang w:val="hy-AM"/>
              </w:rPr>
              <w:t>Ս.թ. հոկտեմբերի 5-ի Ձեր թիվ 01/15750-2022 գրությամբ ներկայացված՝ «2023 թվականի ընթաց</w:t>
            </w:r>
            <w:r>
              <w:rPr>
                <w:rFonts w:ascii="GHEA Grapalat" w:hAnsi="GHEA Grapalat" w:cs="Sylfaen"/>
                <w:sz w:val="24"/>
                <w:szCs w:val="24"/>
                <w:lang w:val="hy-AM"/>
              </w:rPr>
              <w:softHyphen/>
              <w:t>քում Սերբիայի Հանրապետությունից Հայաստանի Հանրապետության տարածք ներ</w:t>
            </w:r>
            <w:r>
              <w:rPr>
                <w:rFonts w:ascii="GHEA Grapalat" w:hAnsi="GHEA Grapalat" w:cs="Sylfaen"/>
                <w:sz w:val="24"/>
                <w:szCs w:val="24"/>
                <w:lang w:val="hy-AM"/>
              </w:rPr>
              <w:softHyphen/>
              <w:t>մուծ</w:t>
            </w:r>
            <w:r>
              <w:rPr>
                <w:rFonts w:ascii="GHEA Grapalat" w:hAnsi="GHEA Grapalat" w:cs="Sylfaen"/>
                <w:sz w:val="24"/>
                <w:szCs w:val="24"/>
                <w:lang w:val="hy-AM"/>
              </w:rPr>
              <w:softHyphen/>
              <w:t>վող սերբիական ծագում ունեցող առանձին տեսակի ապրանքների նկատմամբ սակա</w:t>
            </w:r>
            <w:r>
              <w:rPr>
                <w:rFonts w:ascii="GHEA Grapalat" w:hAnsi="GHEA Grapalat" w:cs="Sylfaen"/>
                <w:sz w:val="24"/>
                <w:szCs w:val="24"/>
                <w:lang w:val="hy-AM"/>
              </w:rPr>
              <w:softHyphen/>
              <w:t xml:space="preserve">գնային քվոտա սահմանելու, </w:t>
            </w:r>
            <w:r>
              <w:rPr>
                <w:rFonts w:ascii="GHEA Grapalat" w:hAnsi="GHEA Grapalat" w:cs="Sylfaen"/>
                <w:sz w:val="24"/>
                <w:szCs w:val="24"/>
                <w:lang w:val="hy-AM"/>
              </w:rPr>
              <w:lastRenderedPageBreak/>
              <w:t>ներմուծման լիցենզիայի ընթացակարգը, մեկանգամյա և գլխա</w:t>
            </w:r>
            <w:r>
              <w:rPr>
                <w:rFonts w:ascii="GHEA Grapalat" w:hAnsi="GHEA Grapalat" w:cs="Sylfaen"/>
                <w:sz w:val="24"/>
                <w:szCs w:val="24"/>
                <w:lang w:val="hy-AM"/>
              </w:rPr>
              <w:softHyphen/>
              <w:t>վոր լիցենզիաների ձևերը հաստատելու մասին» ՀՀ կառա</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վա</w:t>
            </w:r>
            <w:r>
              <w:rPr>
                <w:rFonts w:ascii="GHEA Grapalat" w:hAnsi="GHEA Grapalat" w:cs="Sylfaen"/>
                <w:sz w:val="24"/>
                <w:szCs w:val="24"/>
                <w:lang w:val="hy-AM"/>
              </w:rPr>
              <w:softHyphen/>
              <w:t>րու</w:t>
            </w:r>
            <w:r>
              <w:rPr>
                <w:rFonts w:ascii="GHEA Grapalat" w:hAnsi="GHEA Grapalat" w:cs="Sylfaen"/>
                <w:sz w:val="24"/>
                <w:szCs w:val="24"/>
                <w:lang w:val="hy-AM"/>
              </w:rPr>
              <w:softHyphen/>
              <w:t>թյան որոշ</w:t>
            </w:r>
            <w:r>
              <w:rPr>
                <w:rFonts w:ascii="GHEA Grapalat" w:hAnsi="GHEA Grapalat" w:cs="Sylfaen"/>
                <w:sz w:val="24"/>
                <w:szCs w:val="24"/>
                <w:lang w:val="hy-AM"/>
              </w:rPr>
              <w:softHyphen/>
            </w:r>
            <w:r>
              <w:rPr>
                <w:rFonts w:ascii="GHEA Grapalat" w:hAnsi="GHEA Grapalat" w:cs="Sylfaen"/>
                <w:sz w:val="24"/>
                <w:szCs w:val="24"/>
                <w:lang w:val="hy-AM"/>
              </w:rPr>
              <w:softHyphen/>
              <w:t>ման նախա</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գծի վերա</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բե</w:t>
            </w:r>
            <w:r>
              <w:rPr>
                <w:rFonts w:ascii="GHEA Grapalat" w:hAnsi="GHEA Grapalat" w:cs="Sylfaen"/>
                <w:sz w:val="24"/>
                <w:szCs w:val="24"/>
                <w:lang w:val="hy-AM"/>
              </w:rPr>
              <w:softHyphen/>
              <w:t>ր</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յալ հայտ</w:t>
            </w:r>
            <w:r>
              <w:rPr>
                <w:rFonts w:ascii="GHEA Grapalat" w:hAnsi="GHEA Grapalat" w:cs="Sylfaen"/>
                <w:sz w:val="24"/>
                <w:szCs w:val="24"/>
                <w:lang w:val="hy-AM"/>
              </w:rPr>
              <w:softHyphen/>
              <w:t>նում ենք, որ դիտողու</w:t>
            </w:r>
            <w:r>
              <w:rPr>
                <w:rFonts w:ascii="GHEA Grapalat" w:hAnsi="GHEA Grapalat" w:cs="Sylfaen"/>
                <w:sz w:val="24"/>
                <w:szCs w:val="24"/>
                <w:lang w:val="hy-AM"/>
              </w:rPr>
              <w:softHyphen/>
              <w:t>թյուն</w:t>
            </w:r>
            <w:r>
              <w:rPr>
                <w:rFonts w:ascii="GHEA Grapalat" w:hAnsi="GHEA Grapalat" w:cs="Sylfaen"/>
                <w:sz w:val="24"/>
                <w:szCs w:val="24"/>
                <w:lang w:val="hy-AM"/>
              </w:rPr>
              <w:softHyphen/>
              <w:t>ներ և առա</w:t>
            </w:r>
            <w:r>
              <w:rPr>
                <w:rFonts w:ascii="GHEA Grapalat" w:hAnsi="GHEA Grapalat" w:cs="Sylfaen"/>
                <w:sz w:val="24"/>
                <w:szCs w:val="24"/>
                <w:lang w:val="hy-AM"/>
              </w:rPr>
              <w:softHyphen/>
              <w:t>ջար</w:t>
            </w:r>
            <w:r>
              <w:rPr>
                <w:rFonts w:ascii="GHEA Grapalat" w:hAnsi="GHEA Grapalat" w:cs="Sylfaen"/>
                <w:sz w:val="24"/>
                <w:szCs w:val="24"/>
                <w:lang w:val="hy-AM"/>
              </w:rPr>
              <w:softHyphen/>
              <w:t>կու</w:t>
            </w:r>
            <w:r>
              <w:rPr>
                <w:rFonts w:ascii="GHEA Grapalat" w:hAnsi="GHEA Grapalat" w:cs="Sylfaen"/>
                <w:sz w:val="24"/>
                <w:szCs w:val="24"/>
                <w:lang w:val="hy-AM"/>
              </w:rPr>
              <w:softHyphen/>
              <w:t>թյուն</w:t>
            </w:r>
            <w:r>
              <w:rPr>
                <w:rFonts w:ascii="GHEA Grapalat" w:hAnsi="GHEA Grapalat" w:cs="Sylfaen"/>
                <w:sz w:val="24"/>
                <w:szCs w:val="24"/>
                <w:lang w:val="hy-AM"/>
              </w:rPr>
              <w:softHyphen/>
              <w:t>ներ չկան:</w:t>
            </w:r>
          </w:p>
          <w:p w14:paraId="49639265" w14:textId="4CBABA42" w:rsidR="00661268" w:rsidRPr="00DC02B4" w:rsidRDefault="00661268" w:rsidP="00977467">
            <w:pPr>
              <w:spacing w:line="360" w:lineRule="auto"/>
              <w:ind w:left="112" w:hanging="112"/>
              <w:jc w:val="both"/>
              <w:rPr>
                <w:rFonts w:ascii="GHEA Grapalat" w:hAnsi="GHEA Grapalat"/>
                <w:sz w:val="24"/>
                <w:szCs w:val="24"/>
                <w:lang w:val="hy-AM"/>
              </w:rPr>
            </w:pPr>
          </w:p>
        </w:tc>
        <w:tc>
          <w:tcPr>
            <w:tcW w:w="682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6B7613A" w14:textId="3E019A17" w:rsidR="00661268" w:rsidRDefault="00206888" w:rsidP="00206888">
            <w:pPr>
              <w:spacing w:line="360" w:lineRule="auto"/>
              <w:jc w:val="center"/>
              <w:rPr>
                <w:rFonts w:ascii="GHEA Grapalat" w:hAnsi="GHEA Grapalat"/>
                <w:sz w:val="24"/>
                <w:szCs w:val="24"/>
              </w:rPr>
            </w:pPr>
            <w:proofErr w:type="spellStart"/>
            <w:r w:rsidRPr="00206888">
              <w:rPr>
                <w:rFonts w:ascii="GHEA Grapalat" w:hAnsi="GHEA Grapalat"/>
                <w:sz w:val="24"/>
                <w:szCs w:val="24"/>
              </w:rPr>
              <w:lastRenderedPageBreak/>
              <w:t>Ընդունվել</w:t>
            </w:r>
            <w:proofErr w:type="spellEnd"/>
            <w:r w:rsidRPr="00206888">
              <w:rPr>
                <w:rFonts w:ascii="GHEA Grapalat" w:hAnsi="GHEA Grapalat"/>
                <w:sz w:val="24"/>
                <w:szCs w:val="24"/>
              </w:rPr>
              <w:t xml:space="preserve"> է</w:t>
            </w:r>
          </w:p>
        </w:tc>
      </w:tr>
      <w:tr w:rsidR="0086253F" w:rsidRPr="003B1DDA" w14:paraId="159FFE93" w14:textId="77777777" w:rsidTr="0003770B">
        <w:trPr>
          <w:tblCellSpacing w:w="0" w:type="dxa"/>
          <w:jc w:val="center"/>
        </w:trPr>
        <w:tc>
          <w:tcPr>
            <w:tcW w:w="1197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3FC3E057" w14:textId="77777777" w:rsidR="009841A5" w:rsidRDefault="009841A5" w:rsidP="0086253F">
            <w:pPr>
              <w:spacing w:line="360" w:lineRule="auto"/>
              <w:jc w:val="center"/>
              <w:rPr>
                <w:rFonts w:ascii="GHEA Grapalat" w:hAnsi="GHEA Grapalat"/>
                <w:sz w:val="24"/>
                <w:szCs w:val="24"/>
                <w:lang w:val="hy-AM"/>
              </w:rPr>
            </w:pPr>
            <w:bookmarkStart w:id="1" w:name="_Hlk88664852"/>
          </w:p>
          <w:p w14:paraId="1519D709" w14:textId="0CCD6C64" w:rsidR="0086253F" w:rsidRPr="003B1DDA" w:rsidRDefault="0086253F" w:rsidP="0086253F">
            <w:pPr>
              <w:spacing w:line="360" w:lineRule="auto"/>
              <w:jc w:val="center"/>
              <w:rPr>
                <w:rFonts w:ascii="GHEA Grapalat" w:hAnsi="GHEA Grapalat"/>
                <w:sz w:val="24"/>
                <w:szCs w:val="24"/>
                <w:lang w:val="hy-AM"/>
              </w:rPr>
            </w:pPr>
            <w:r>
              <w:rPr>
                <w:rFonts w:ascii="GHEA Grapalat" w:hAnsi="GHEA Grapalat"/>
                <w:sz w:val="24"/>
                <w:szCs w:val="24"/>
                <w:lang w:val="hy-AM"/>
              </w:rPr>
              <w:t>2</w:t>
            </w:r>
            <w:r w:rsidRPr="003B1DDA">
              <w:rPr>
                <w:rFonts w:ascii="GHEA Grapalat" w:hAnsi="GHEA Grapalat"/>
                <w:sz w:val="24"/>
                <w:szCs w:val="24"/>
              </w:rPr>
              <w:t xml:space="preserve">. </w:t>
            </w:r>
            <w:r w:rsidRPr="003B1DDA">
              <w:rPr>
                <w:rFonts w:ascii="GHEA Grapalat" w:hAnsi="GHEA Grapalat"/>
                <w:sz w:val="24"/>
                <w:szCs w:val="24"/>
                <w:lang w:val="hy-AM"/>
              </w:rPr>
              <w:t>ՀՀ պետական եկամուտների կոմիտե</w:t>
            </w:r>
            <w:r>
              <w:rPr>
                <w:rFonts w:ascii="GHEA Grapalat" w:hAnsi="GHEA Grapalat"/>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1B5B38D5" w14:textId="0908D870" w:rsidR="0086253F" w:rsidRPr="003038AC" w:rsidRDefault="00AF586C" w:rsidP="0086253F">
            <w:pPr>
              <w:spacing w:line="360" w:lineRule="auto"/>
              <w:rPr>
                <w:rFonts w:ascii="Cambria Math" w:hAnsi="Cambria Math"/>
                <w:sz w:val="24"/>
                <w:szCs w:val="24"/>
                <w:lang w:val="hy-AM"/>
              </w:rPr>
            </w:pPr>
            <w:r>
              <w:rPr>
                <w:rFonts w:ascii="GHEA Grapalat" w:hAnsi="GHEA Grapalat"/>
                <w:sz w:val="24"/>
                <w:szCs w:val="24"/>
                <w:lang w:val="hy-AM"/>
              </w:rPr>
              <w:t>13</w:t>
            </w:r>
            <w:r w:rsidR="0086253F">
              <w:rPr>
                <w:rFonts w:ascii="GHEA Grapalat" w:hAnsi="GHEA Grapalat"/>
                <w:sz w:val="24"/>
                <w:szCs w:val="24"/>
              </w:rPr>
              <w:t>.</w:t>
            </w:r>
            <w:r>
              <w:rPr>
                <w:rFonts w:ascii="GHEA Grapalat" w:hAnsi="GHEA Grapalat"/>
                <w:sz w:val="24"/>
                <w:szCs w:val="24"/>
                <w:lang w:val="hy-AM"/>
              </w:rPr>
              <w:t>10</w:t>
            </w:r>
            <w:r w:rsidR="0086253F">
              <w:rPr>
                <w:rFonts w:ascii="GHEA Grapalat" w:hAnsi="GHEA Grapalat"/>
                <w:sz w:val="24"/>
                <w:szCs w:val="24"/>
              </w:rPr>
              <w:t>.202</w:t>
            </w:r>
            <w:r w:rsidR="00375854">
              <w:rPr>
                <w:rFonts w:ascii="GHEA Grapalat" w:hAnsi="GHEA Grapalat"/>
                <w:sz w:val="24"/>
                <w:szCs w:val="24"/>
                <w:lang w:val="hy-AM"/>
              </w:rPr>
              <w:t>2</w:t>
            </w:r>
            <w:r w:rsidR="0086253F">
              <w:rPr>
                <w:rFonts w:ascii="GHEA Grapalat" w:hAnsi="GHEA Grapalat"/>
                <w:sz w:val="24"/>
                <w:szCs w:val="24"/>
                <w:lang w:val="hy-AM"/>
              </w:rPr>
              <w:t>թ</w:t>
            </w:r>
            <w:r w:rsidR="0086253F">
              <w:rPr>
                <w:rFonts w:ascii="Cambria Math" w:hAnsi="Cambria Math"/>
                <w:sz w:val="24"/>
                <w:szCs w:val="24"/>
                <w:lang w:val="hy-AM"/>
              </w:rPr>
              <w:t>․</w:t>
            </w:r>
          </w:p>
        </w:tc>
      </w:tr>
      <w:tr w:rsidR="0086253F" w:rsidRPr="003B1DDA" w14:paraId="495D6AC3" w14:textId="77777777" w:rsidTr="0003770B">
        <w:trPr>
          <w:tblCellSpacing w:w="0" w:type="dxa"/>
          <w:jc w:val="center"/>
        </w:trPr>
        <w:tc>
          <w:tcPr>
            <w:tcW w:w="1197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F613E9" w14:textId="77777777" w:rsidR="0086253F" w:rsidRPr="003B1DDA" w:rsidRDefault="0086253F" w:rsidP="0086253F">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3C66A890" w14:textId="6B0B494E" w:rsidR="0086253F" w:rsidRPr="003B1DDA" w:rsidRDefault="0086253F" w:rsidP="0086253F">
            <w:pPr>
              <w:spacing w:line="360" w:lineRule="auto"/>
              <w:rPr>
                <w:rFonts w:ascii="GHEA Grapalat" w:hAnsi="GHEA Grapalat"/>
                <w:sz w:val="24"/>
                <w:szCs w:val="24"/>
                <w:lang w:val="hy-AM"/>
              </w:rPr>
            </w:pPr>
            <w:r>
              <w:rPr>
                <w:rFonts w:ascii="GHEA Grapalat" w:hAnsi="GHEA Grapalat"/>
                <w:sz w:val="24"/>
                <w:szCs w:val="24"/>
              </w:rPr>
              <w:t xml:space="preserve">№ </w:t>
            </w:r>
            <w:r w:rsidR="00AF586C" w:rsidRPr="00AF586C">
              <w:rPr>
                <w:rFonts w:ascii="GHEA Grapalat" w:hAnsi="GHEA Grapalat"/>
                <w:sz w:val="24"/>
                <w:szCs w:val="24"/>
              </w:rPr>
              <w:t>01/3-2/73814-2022</w:t>
            </w:r>
          </w:p>
        </w:tc>
      </w:tr>
      <w:bookmarkEnd w:id="1"/>
      <w:tr w:rsidR="0086253F" w:rsidRPr="00676E4C" w14:paraId="24714155" w14:textId="77777777" w:rsidTr="008900C7">
        <w:trPr>
          <w:tblCellSpacing w:w="0" w:type="dxa"/>
          <w:jc w:val="center"/>
        </w:trPr>
        <w:tc>
          <w:tcPr>
            <w:tcW w:w="7222" w:type="dxa"/>
            <w:gridSpan w:val="2"/>
            <w:tcBorders>
              <w:top w:val="outset" w:sz="6" w:space="0" w:color="auto"/>
              <w:left w:val="outset" w:sz="6" w:space="0" w:color="auto"/>
              <w:bottom w:val="outset" w:sz="6" w:space="0" w:color="auto"/>
              <w:right w:val="outset" w:sz="6" w:space="0" w:color="auto"/>
            </w:tcBorders>
            <w:shd w:val="clear" w:color="auto" w:fill="FFFFFF"/>
          </w:tcPr>
          <w:p w14:paraId="44F81F13" w14:textId="77777777" w:rsidR="008223E8" w:rsidRPr="008223E8" w:rsidRDefault="008223E8" w:rsidP="008223E8">
            <w:pPr>
              <w:spacing w:line="360" w:lineRule="auto"/>
              <w:ind w:right="7" w:firstLine="540"/>
              <w:jc w:val="both"/>
              <w:rPr>
                <w:rFonts w:ascii="GHEA Grapalat" w:hAnsi="GHEA Grapalat"/>
                <w:sz w:val="24"/>
                <w:szCs w:val="24"/>
                <w:lang w:val="hy-AM"/>
              </w:rPr>
            </w:pPr>
            <w:r w:rsidRPr="008223E8">
              <w:rPr>
                <w:rFonts w:ascii="GHEA Grapalat" w:hAnsi="GHEA Grapalat"/>
                <w:sz w:val="24"/>
                <w:szCs w:val="24"/>
                <w:lang w:val="hy-AM"/>
              </w:rPr>
              <w:t>«2023 թվականի ընթացքում Սերբիայի Հանրապետությունից Հայաստանի Հանրապետության տարածք ներմուծվող սերբիական ծագում ունեցող առանձին տեսակի ապրանքների նկատմամբ սակագնային քվոտա սահմանելու, ներմուծման լիցենզիայի ընթացակարգը, մեկանգամյա և գլխավոր լիցենզիաների ձևերը հաստատելու մասին» Հայաստանի Հանրապետության կառավարության որոշման նախագծի (այսուհետ` Նախագիծ) վերաբերյալ հայտնում ենք հետևյալը.</w:t>
            </w:r>
          </w:p>
          <w:p w14:paraId="7DCCFE94" w14:textId="77777777" w:rsidR="008223E8" w:rsidRPr="008223E8" w:rsidRDefault="008223E8" w:rsidP="008223E8">
            <w:pPr>
              <w:spacing w:line="360" w:lineRule="auto"/>
              <w:ind w:right="7" w:firstLine="540"/>
              <w:jc w:val="both"/>
              <w:rPr>
                <w:rFonts w:ascii="GHEA Grapalat" w:hAnsi="GHEA Grapalat"/>
                <w:sz w:val="24"/>
                <w:szCs w:val="24"/>
                <w:lang w:val="hy-AM"/>
              </w:rPr>
            </w:pPr>
            <w:r w:rsidRPr="008223E8">
              <w:rPr>
                <w:rFonts w:ascii="GHEA Grapalat" w:hAnsi="GHEA Grapalat"/>
                <w:sz w:val="24"/>
                <w:szCs w:val="24"/>
                <w:lang w:val="hy-AM"/>
              </w:rPr>
              <w:t>1. Նախագծի նախաբանում նշված է Եվրասիական տնտեսական հանձնաժողովի կոլեգիայի 16.08.2022թ. N 117 որոշման միայն 1-ին կետով հաստատված հավելվածը,  որով սահմանված են 2023 թվականի ընթացքում Սերբիայի Հանրապետությունից Հայաստանի Հանրապետության տարածք ներմուծվող սերբիական ծագում ունեցող առանձին տեսակի ապրանքների նկատմամբ սակագնային քվոտայի ծավալները, մինչդեռ նշված որոշման մյուս կետերով ևս սահմանված են սակագնային քվոտայի կիրառման վերաբերյալ դրույթներ, որոնք արտացոլված են Նախագծում: Հաշվի առնելով նշվածը` առաջարկում ենք Նախագծի նախաբանում որպես լիազորող նորմ նշել ամբողջ որոշումը:</w:t>
            </w:r>
          </w:p>
          <w:p w14:paraId="60BB3D1D" w14:textId="3C4F7C6F" w:rsidR="0086253F" w:rsidRPr="008223E8" w:rsidRDefault="008223E8" w:rsidP="008223E8">
            <w:pPr>
              <w:spacing w:line="360" w:lineRule="auto"/>
              <w:ind w:firstLine="708"/>
              <w:jc w:val="both"/>
              <w:rPr>
                <w:rFonts w:ascii="GHEA Grapalat" w:hAnsi="GHEA Grapalat"/>
                <w:sz w:val="24"/>
                <w:szCs w:val="24"/>
                <w:lang w:val="hy-AM"/>
              </w:rPr>
            </w:pPr>
            <w:r w:rsidRPr="008223E8">
              <w:rPr>
                <w:rFonts w:ascii="GHEA Grapalat" w:hAnsi="GHEA Grapalat"/>
                <w:sz w:val="24"/>
                <w:szCs w:val="24"/>
                <w:lang w:val="hy-AM"/>
              </w:rPr>
              <w:t>2. Նախագծի N 2 հավելվածի 17-րդ կետում «յուրաքանչյուր ամսվա 15-ը» բառերը առաջարկում ենք փոխարինել «հաջորդող ամսվա 15-ը» բառերով:</w:t>
            </w: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8B7EC6" w14:textId="77777777" w:rsidR="00DC02B4" w:rsidRDefault="00DC02B4" w:rsidP="0086253F">
            <w:pPr>
              <w:spacing w:line="360" w:lineRule="auto"/>
              <w:jc w:val="center"/>
              <w:rPr>
                <w:rFonts w:ascii="GHEA Grapalat" w:hAnsi="GHEA Grapalat"/>
                <w:bCs/>
                <w:sz w:val="24"/>
                <w:szCs w:val="24"/>
                <w:lang w:val="hy-AM"/>
              </w:rPr>
            </w:pPr>
          </w:p>
          <w:p w14:paraId="6DEC2F08" w14:textId="77777777" w:rsidR="00D63781" w:rsidRDefault="00D63781" w:rsidP="0086253F">
            <w:pPr>
              <w:spacing w:line="360" w:lineRule="auto"/>
              <w:jc w:val="center"/>
              <w:rPr>
                <w:rFonts w:ascii="GHEA Grapalat" w:hAnsi="GHEA Grapalat"/>
                <w:bCs/>
                <w:sz w:val="24"/>
                <w:szCs w:val="24"/>
                <w:lang w:val="hy-AM"/>
              </w:rPr>
            </w:pPr>
          </w:p>
          <w:p w14:paraId="474BC4CD" w14:textId="77777777" w:rsidR="00D63781" w:rsidRDefault="00D63781" w:rsidP="0086253F">
            <w:pPr>
              <w:spacing w:line="360" w:lineRule="auto"/>
              <w:jc w:val="center"/>
              <w:rPr>
                <w:rFonts w:ascii="GHEA Grapalat" w:hAnsi="GHEA Grapalat"/>
                <w:bCs/>
                <w:sz w:val="24"/>
                <w:szCs w:val="24"/>
                <w:lang w:val="hy-AM"/>
              </w:rPr>
            </w:pPr>
          </w:p>
          <w:p w14:paraId="16F22670" w14:textId="77777777" w:rsidR="00D63781" w:rsidRDefault="00D63781" w:rsidP="0086253F">
            <w:pPr>
              <w:spacing w:line="360" w:lineRule="auto"/>
              <w:jc w:val="center"/>
              <w:rPr>
                <w:rFonts w:ascii="GHEA Grapalat" w:hAnsi="GHEA Grapalat"/>
                <w:bCs/>
                <w:sz w:val="24"/>
                <w:szCs w:val="24"/>
                <w:lang w:val="hy-AM"/>
              </w:rPr>
            </w:pPr>
          </w:p>
          <w:p w14:paraId="79A11BF4" w14:textId="77777777" w:rsidR="00D63781" w:rsidRDefault="00D63781" w:rsidP="0086253F">
            <w:pPr>
              <w:spacing w:line="360" w:lineRule="auto"/>
              <w:jc w:val="center"/>
              <w:rPr>
                <w:rFonts w:ascii="GHEA Grapalat" w:hAnsi="GHEA Grapalat"/>
                <w:bCs/>
                <w:sz w:val="24"/>
                <w:szCs w:val="24"/>
                <w:lang w:val="hy-AM"/>
              </w:rPr>
            </w:pPr>
          </w:p>
          <w:p w14:paraId="6A35B315" w14:textId="77777777" w:rsidR="00D63781" w:rsidRDefault="00D63781" w:rsidP="0086253F">
            <w:pPr>
              <w:spacing w:line="360" w:lineRule="auto"/>
              <w:jc w:val="center"/>
              <w:rPr>
                <w:rFonts w:ascii="GHEA Grapalat" w:hAnsi="GHEA Grapalat"/>
                <w:bCs/>
                <w:sz w:val="24"/>
                <w:szCs w:val="24"/>
                <w:lang w:val="hy-AM"/>
              </w:rPr>
            </w:pPr>
          </w:p>
          <w:p w14:paraId="691878BC" w14:textId="77777777" w:rsidR="00D63781" w:rsidRDefault="00D63781" w:rsidP="0086253F">
            <w:pPr>
              <w:spacing w:line="360" w:lineRule="auto"/>
              <w:jc w:val="center"/>
              <w:rPr>
                <w:rFonts w:ascii="GHEA Grapalat" w:hAnsi="GHEA Grapalat"/>
                <w:bCs/>
                <w:sz w:val="24"/>
                <w:szCs w:val="24"/>
                <w:lang w:val="hy-AM"/>
              </w:rPr>
            </w:pPr>
          </w:p>
          <w:p w14:paraId="0A24638C" w14:textId="29241A7A" w:rsidR="0086253F" w:rsidRPr="00C359A7" w:rsidRDefault="0086253F" w:rsidP="0086253F">
            <w:pPr>
              <w:spacing w:line="360" w:lineRule="auto"/>
              <w:jc w:val="center"/>
              <w:rPr>
                <w:rFonts w:ascii="GHEA Grapalat" w:hAnsi="GHEA Grapalat"/>
                <w:bCs/>
                <w:sz w:val="24"/>
                <w:szCs w:val="24"/>
                <w:lang w:val="hy-AM"/>
              </w:rPr>
            </w:pPr>
            <w:r w:rsidRPr="00C359A7">
              <w:rPr>
                <w:rFonts w:ascii="GHEA Grapalat" w:hAnsi="GHEA Grapalat"/>
                <w:bCs/>
                <w:sz w:val="24"/>
                <w:szCs w:val="24"/>
                <w:lang w:val="hy-AM"/>
              </w:rPr>
              <w:t>Ընդունվել է</w:t>
            </w:r>
          </w:p>
          <w:p w14:paraId="02185006" w14:textId="77777777" w:rsidR="0086253F" w:rsidRDefault="0086253F" w:rsidP="0086253F">
            <w:pPr>
              <w:spacing w:line="360" w:lineRule="auto"/>
              <w:ind w:left="223" w:right="176"/>
              <w:jc w:val="both"/>
              <w:rPr>
                <w:rFonts w:ascii="GHEA Grapalat" w:hAnsi="GHEA Grapalat"/>
                <w:sz w:val="24"/>
                <w:szCs w:val="24"/>
                <w:lang w:val="hy-AM"/>
              </w:rPr>
            </w:pPr>
          </w:p>
          <w:p w14:paraId="3C43E016" w14:textId="77777777" w:rsidR="00DC02B4" w:rsidRDefault="00DC02B4" w:rsidP="0086253F">
            <w:pPr>
              <w:spacing w:line="360" w:lineRule="auto"/>
              <w:ind w:left="223" w:right="176"/>
              <w:jc w:val="both"/>
              <w:rPr>
                <w:rFonts w:ascii="GHEA Grapalat" w:hAnsi="GHEA Grapalat"/>
                <w:sz w:val="24"/>
                <w:szCs w:val="24"/>
                <w:lang w:val="hy-AM"/>
              </w:rPr>
            </w:pPr>
          </w:p>
          <w:p w14:paraId="60CBE9BA" w14:textId="77777777" w:rsidR="00DC02B4" w:rsidRDefault="00DC02B4" w:rsidP="0086253F">
            <w:pPr>
              <w:spacing w:line="360" w:lineRule="auto"/>
              <w:ind w:left="223" w:right="176"/>
              <w:jc w:val="both"/>
              <w:rPr>
                <w:rFonts w:ascii="GHEA Grapalat" w:hAnsi="GHEA Grapalat"/>
                <w:sz w:val="24"/>
                <w:szCs w:val="24"/>
                <w:lang w:val="hy-AM"/>
              </w:rPr>
            </w:pPr>
          </w:p>
          <w:p w14:paraId="15DE8E01" w14:textId="77777777" w:rsidR="00D63781" w:rsidRDefault="00D63781" w:rsidP="00D63781">
            <w:pPr>
              <w:spacing w:line="360" w:lineRule="auto"/>
              <w:jc w:val="center"/>
              <w:rPr>
                <w:rFonts w:ascii="GHEA Grapalat" w:hAnsi="GHEA Grapalat"/>
                <w:bCs/>
                <w:sz w:val="24"/>
                <w:szCs w:val="24"/>
                <w:lang w:val="hy-AM"/>
              </w:rPr>
            </w:pPr>
          </w:p>
          <w:p w14:paraId="46619D18" w14:textId="77777777" w:rsidR="00D63781" w:rsidRDefault="00D63781" w:rsidP="00D63781">
            <w:pPr>
              <w:spacing w:line="360" w:lineRule="auto"/>
              <w:jc w:val="center"/>
              <w:rPr>
                <w:rFonts w:ascii="GHEA Grapalat" w:hAnsi="GHEA Grapalat"/>
                <w:bCs/>
                <w:sz w:val="24"/>
                <w:szCs w:val="24"/>
                <w:lang w:val="hy-AM"/>
              </w:rPr>
            </w:pPr>
          </w:p>
          <w:p w14:paraId="3D83927D" w14:textId="77777777" w:rsidR="008223E8" w:rsidRDefault="008223E8" w:rsidP="00D63781">
            <w:pPr>
              <w:spacing w:line="360" w:lineRule="auto"/>
              <w:jc w:val="center"/>
              <w:rPr>
                <w:rFonts w:ascii="GHEA Grapalat" w:hAnsi="GHEA Grapalat"/>
                <w:bCs/>
                <w:sz w:val="24"/>
                <w:szCs w:val="24"/>
                <w:lang w:val="hy-AM"/>
              </w:rPr>
            </w:pPr>
          </w:p>
          <w:p w14:paraId="02B6CC93" w14:textId="77777777" w:rsidR="008223E8" w:rsidRDefault="008223E8" w:rsidP="00D63781">
            <w:pPr>
              <w:spacing w:line="360" w:lineRule="auto"/>
              <w:jc w:val="center"/>
              <w:rPr>
                <w:rFonts w:ascii="GHEA Grapalat" w:hAnsi="GHEA Grapalat"/>
                <w:bCs/>
                <w:sz w:val="24"/>
                <w:szCs w:val="24"/>
                <w:lang w:val="hy-AM"/>
              </w:rPr>
            </w:pPr>
          </w:p>
          <w:p w14:paraId="65D2A6B5" w14:textId="77777777" w:rsidR="008223E8" w:rsidRDefault="008223E8" w:rsidP="00D63781">
            <w:pPr>
              <w:spacing w:line="360" w:lineRule="auto"/>
              <w:jc w:val="center"/>
              <w:rPr>
                <w:rFonts w:ascii="GHEA Grapalat" w:hAnsi="GHEA Grapalat"/>
                <w:bCs/>
                <w:sz w:val="24"/>
                <w:szCs w:val="24"/>
                <w:lang w:val="hy-AM"/>
              </w:rPr>
            </w:pPr>
          </w:p>
          <w:p w14:paraId="73671FEF" w14:textId="39D2C4BF" w:rsidR="00D63781" w:rsidRPr="00C359A7" w:rsidRDefault="00D63781" w:rsidP="00D63781">
            <w:pPr>
              <w:spacing w:line="360" w:lineRule="auto"/>
              <w:jc w:val="center"/>
              <w:rPr>
                <w:rFonts w:ascii="GHEA Grapalat" w:hAnsi="GHEA Grapalat"/>
                <w:bCs/>
                <w:sz w:val="24"/>
                <w:szCs w:val="24"/>
                <w:lang w:val="hy-AM"/>
              </w:rPr>
            </w:pPr>
            <w:r w:rsidRPr="00C359A7">
              <w:rPr>
                <w:rFonts w:ascii="GHEA Grapalat" w:hAnsi="GHEA Grapalat"/>
                <w:bCs/>
                <w:sz w:val="24"/>
                <w:szCs w:val="24"/>
                <w:lang w:val="hy-AM"/>
              </w:rPr>
              <w:t>Ընդունվել է</w:t>
            </w:r>
          </w:p>
          <w:p w14:paraId="310B9574" w14:textId="12F875CD" w:rsidR="00DC02B4" w:rsidRPr="003B1DDA" w:rsidRDefault="00DC02B4" w:rsidP="00977467">
            <w:pPr>
              <w:spacing w:line="360" w:lineRule="auto"/>
              <w:jc w:val="center"/>
              <w:rPr>
                <w:rFonts w:ascii="GHEA Grapalat" w:hAnsi="GHEA Grapalat"/>
                <w:sz w:val="24"/>
                <w:szCs w:val="24"/>
                <w:lang w:val="hy-AM"/>
              </w:rPr>
            </w:pPr>
          </w:p>
        </w:tc>
      </w:tr>
      <w:tr w:rsidR="0086253F" w:rsidRPr="003038AC" w14:paraId="6E52D8FF" w14:textId="77777777" w:rsidTr="00102E14">
        <w:trPr>
          <w:tblCellSpacing w:w="0" w:type="dxa"/>
          <w:jc w:val="center"/>
        </w:trPr>
        <w:tc>
          <w:tcPr>
            <w:tcW w:w="1197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21D8E239" w14:textId="4F6E6B17" w:rsidR="0086253F" w:rsidRPr="003B1DDA" w:rsidRDefault="007C06A8" w:rsidP="00102E14">
            <w:pPr>
              <w:spacing w:line="360" w:lineRule="auto"/>
              <w:jc w:val="center"/>
              <w:rPr>
                <w:rFonts w:ascii="GHEA Grapalat" w:hAnsi="GHEA Grapalat"/>
                <w:sz w:val="24"/>
                <w:szCs w:val="24"/>
                <w:lang w:val="hy-AM"/>
              </w:rPr>
            </w:pPr>
            <w:r>
              <w:rPr>
                <w:rFonts w:ascii="GHEA Grapalat" w:hAnsi="GHEA Grapalat"/>
                <w:sz w:val="24"/>
                <w:szCs w:val="24"/>
                <w:lang w:val="hy-AM"/>
              </w:rPr>
              <w:t>3</w:t>
            </w:r>
            <w:r w:rsidR="0086253F" w:rsidRPr="003B1DDA">
              <w:rPr>
                <w:rFonts w:ascii="GHEA Grapalat" w:hAnsi="GHEA Grapalat"/>
                <w:sz w:val="24"/>
                <w:szCs w:val="24"/>
              </w:rPr>
              <w:t xml:space="preserve">. </w:t>
            </w:r>
            <w:r w:rsidR="00A90F8F" w:rsidRPr="00A90F8F">
              <w:rPr>
                <w:rFonts w:ascii="GHEA Grapalat" w:hAnsi="GHEA Grapalat"/>
                <w:sz w:val="24"/>
                <w:szCs w:val="24"/>
              </w:rPr>
              <w:t xml:space="preserve">ՀՀ </w:t>
            </w:r>
            <w:proofErr w:type="spellStart"/>
            <w:r w:rsidR="00A90F8F" w:rsidRPr="00A90F8F">
              <w:rPr>
                <w:rFonts w:ascii="GHEA Grapalat" w:hAnsi="GHEA Grapalat"/>
                <w:sz w:val="24"/>
                <w:szCs w:val="24"/>
              </w:rPr>
              <w:t>տնտեսական</w:t>
            </w:r>
            <w:proofErr w:type="spellEnd"/>
            <w:r w:rsidR="00A90F8F" w:rsidRPr="00A90F8F">
              <w:rPr>
                <w:rFonts w:ascii="GHEA Grapalat" w:hAnsi="GHEA Grapalat"/>
                <w:sz w:val="24"/>
                <w:szCs w:val="24"/>
              </w:rPr>
              <w:t xml:space="preserve"> </w:t>
            </w:r>
            <w:proofErr w:type="spellStart"/>
            <w:r w:rsidR="00A90F8F" w:rsidRPr="00A90F8F">
              <w:rPr>
                <w:rFonts w:ascii="GHEA Grapalat" w:hAnsi="GHEA Grapalat"/>
                <w:sz w:val="24"/>
                <w:szCs w:val="24"/>
              </w:rPr>
              <w:t>մրցակցության</w:t>
            </w:r>
            <w:proofErr w:type="spellEnd"/>
            <w:r w:rsidR="00A90F8F" w:rsidRPr="00A90F8F">
              <w:rPr>
                <w:rFonts w:ascii="GHEA Grapalat" w:hAnsi="GHEA Grapalat"/>
                <w:sz w:val="24"/>
                <w:szCs w:val="24"/>
              </w:rPr>
              <w:t xml:space="preserve"> </w:t>
            </w:r>
            <w:proofErr w:type="spellStart"/>
            <w:r w:rsidR="00A90F8F" w:rsidRPr="00A90F8F">
              <w:rPr>
                <w:rFonts w:ascii="GHEA Grapalat" w:hAnsi="GHEA Grapalat"/>
                <w:sz w:val="24"/>
                <w:szCs w:val="24"/>
              </w:rPr>
              <w:t>պաշտպանության</w:t>
            </w:r>
            <w:proofErr w:type="spellEnd"/>
            <w:r w:rsidR="00A90F8F" w:rsidRPr="00A90F8F">
              <w:rPr>
                <w:rFonts w:ascii="GHEA Grapalat" w:hAnsi="GHEA Grapalat"/>
                <w:sz w:val="24"/>
                <w:szCs w:val="24"/>
              </w:rPr>
              <w:t xml:space="preserve"> </w:t>
            </w:r>
            <w:proofErr w:type="spellStart"/>
            <w:r w:rsidR="00A90F8F" w:rsidRPr="00A90F8F">
              <w:rPr>
                <w:rFonts w:ascii="GHEA Grapalat" w:hAnsi="GHEA Grapalat"/>
                <w:sz w:val="24"/>
                <w:szCs w:val="24"/>
              </w:rPr>
              <w:t>պետական</w:t>
            </w:r>
            <w:proofErr w:type="spellEnd"/>
            <w:r w:rsidR="00A90F8F" w:rsidRPr="00A90F8F">
              <w:rPr>
                <w:rFonts w:ascii="GHEA Grapalat" w:hAnsi="GHEA Grapalat"/>
                <w:sz w:val="24"/>
                <w:szCs w:val="24"/>
              </w:rPr>
              <w:t xml:space="preserve"> </w:t>
            </w:r>
            <w:proofErr w:type="spellStart"/>
            <w:r w:rsidR="00A90F8F" w:rsidRPr="00A90F8F">
              <w:rPr>
                <w:rFonts w:ascii="GHEA Grapalat" w:hAnsi="GHEA Grapalat"/>
                <w:sz w:val="24"/>
                <w:szCs w:val="24"/>
              </w:rPr>
              <w:t>հանձնաժողով</w:t>
            </w:r>
            <w:proofErr w:type="spellEnd"/>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186B7ACD" w14:textId="2D3F1407" w:rsidR="0086253F" w:rsidRPr="003038AC" w:rsidRDefault="00567B9C" w:rsidP="00102E14">
            <w:pPr>
              <w:spacing w:line="360" w:lineRule="auto"/>
              <w:rPr>
                <w:rFonts w:ascii="Cambria Math" w:hAnsi="Cambria Math"/>
                <w:sz w:val="24"/>
                <w:szCs w:val="24"/>
                <w:lang w:val="hy-AM"/>
              </w:rPr>
            </w:pPr>
            <w:r>
              <w:rPr>
                <w:rFonts w:ascii="GHEA Grapalat" w:hAnsi="GHEA Grapalat"/>
                <w:sz w:val="24"/>
                <w:szCs w:val="24"/>
                <w:lang w:val="hy-AM"/>
              </w:rPr>
              <w:t>06</w:t>
            </w:r>
            <w:r w:rsidR="0086253F">
              <w:rPr>
                <w:rFonts w:ascii="GHEA Grapalat" w:hAnsi="GHEA Grapalat"/>
                <w:sz w:val="24"/>
                <w:szCs w:val="24"/>
              </w:rPr>
              <w:t>.</w:t>
            </w:r>
            <w:r>
              <w:rPr>
                <w:rFonts w:ascii="GHEA Grapalat" w:hAnsi="GHEA Grapalat"/>
                <w:sz w:val="24"/>
                <w:szCs w:val="24"/>
                <w:lang w:val="hy-AM"/>
              </w:rPr>
              <w:t>10</w:t>
            </w:r>
            <w:r w:rsidR="0086253F">
              <w:rPr>
                <w:rFonts w:ascii="GHEA Grapalat" w:hAnsi="GHEA Grapalat"/>
                <w:sz w:val="24"/>
                <w:szCs w:val="24"/>
              </w:rPr>
              <w:t>.202</w:t>
            </w:r>
            <w:r w:rsidR="00375854">
              <w:rPr>
                <w:rFonts w:ascii="GHEA Grapalat" w:hAnsi="GHEA Grapalat"/>
                <w:sz w:val="24"/>
                <w:szCs w:val="24"/>
                <w:lang w:val="hy-AM"/>
              </w:rPr>
              <w:t>2</w:t>
            </w:r>
            <w:r w:rsidR="0086253F">
              <w:rPr>
                <w:rFonts w:ascii="GHEA Grapalat" w:hAnsi="GHEA Grapalat"/>
                <w:sz w:val="24"/>
                <w:szCs w:val="24"/>
                <w:lang w:val="hy-AM"/>
              </w:rPr>
              <w:t>թ</w:t>
            </w:r>
            <w:r w:rsidR="0086253F">
              <w:rPr>
                <w:rFonts w:ascii="Cambria Math" w:hAnsi="Cambria Math"/>
                <w:sz w:val="24"/>
                <w:szCs w:val="24"/>
                <w:lang w:val="hy-AM"/>
              </w:rPr>
              <w:t>․</w:t>
            </w:r>
          </w:p>
        </w:tc>
      </w:tr>
      <w:tr w:rsidR="0086253F" w:rsidRPr="003B1DDA" w14:paraId="3C19C27E" w14:textId="77777777" w:rsidTr="00102E14">
        <w:trPr>
          <w:tblCellSpacing w:w="0" w:type="dxa"/>
          <w:jc w:val="center"/>
        </w:trPr>
        <w:tc>
          <w:tcPr>
            <w:tcW w:w="1197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5B9642" w14:textId="77777777" w:rsidR="0086253F" w:rsidRPr="003B1DDA" w:rsidRDefault="0086253F" w:rsidP="00102E14">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03A06A46" w14:textId="43DC1E62" w:rsidR="0086253F" w:rsidRPr="003B1DDA" w:rsidRDefault="0086253F" w:rsidP="00102E14">
            <w:pPr>
              <w:spacing w:line="360" w:lineRule="auto"/>
              <w:rPr>
                <w:rFonts w:ascii="GHEA Grapalat" w:hAnsi="GHEA Grapalat"/>
                <w:sz w:val="24"/>
                <w:szCs w:val="24"/>
                <w:lang w:val="hy-AM"/>
              </w:rPr>
            </w:pPr>
            <w:r>
              <w:rPr>
                <w:rFonts w:ascii="GHEA Grapalat" w:hAnsi="GHEA Grapalat"/>
                <w:sz w:val="24"/>
                <w:szCs w:val="24"/>
              </w:rPr>
              <w:t xml:space="preserve">№ </w:t>
            </w:r>
            <w:r w:rsidR="00567B9C" w:rsidRPr="00567B9C">
              <w:rPr>
                <w:rFonts w:ascii="GHEA Grapalat" w:hAnsi="GHEA Grapalat"/>
                <w:sz w:val="24"/>
                <w:szCs w:val="24"/>
              </w:rPr>
              <w:t>ՀԱ/1315-2022</w:t>
            </w:r>
          </w:p>
        </w:tc>
      </w:tr>
      <w:tr w:rsidR="0086253F" w:rsidRPr="00206888" w14:paraId="31CD2687" w14:textId="77777777" w:rsidTr="00A90F8F">
        <w:trPr>
          <w:trHeight w:val="4088"/>
          <w:tblCellSpacing w:w="0" w:type="dxa"/>
          <w:jc w:val="center"/>
        </w:trPr>
        <w:tc>
          <w:tcPr>
            <w:tcW w:w="7222" w:type="dxa"/>
            <w:gridSpan w:val="2"/>
            <w:tcBorders>
              <w:top w:val="outset" w:sz="6" w:space="0" w:color="auto"/>
              <w:left w:val="outset" w:sz="6" w:space="0" w:color="auto"/>
              <w:bottom w:val="outset" w:sz="6" w:space="0" w:color="auto"/>
              <w:right w:val="outset" w:sz="6" w:space="0" w:color="auto"/>
            </w:tcBorders>
            <w:shd w:val="clear" w:color="auto" w:fill="FFFFFF"/>
          </w:tcPr>
          <w:p w14:paraId="07B2634F" w14:textId="395C9C77" w:rsidR="0086253F" w:rsidRDefault="00071247" w:rsidP="00A22824">
            <w:pPr>
              <w:spacing w:after="0" w:line="360" w:lineRule="auto"/>
              <w:ind w:left="112" w:right="269" w:firstLine="455"/>
              <w:jc w:val="both"/>
              <w:rPr>
                <w:rFonts w:ascii="GHEA Grapalat" w:eastAsia="Times New Roman" w:hAnsi="GHEA Grapalat" w:cs="Times New Roman"/>
                <w:sz w:val="24"/>
                <w:szCs w:val="24"/>
                <w:lang w:val="hy-AM"/>
              </w:rPr>
            </w:pPr>
            <w:r w:rsidRPr="00071247">
              <w:rPr>
                <w:rFonts w:ascii="GHEA Grapalat" w:eastAsia="Times New Roman" w:hAnsi="GHEA Grapalat" w:cs="Sylfaen"/>
                <w:sz w:val="24"/>
                <w:szCs w:val="24"/>
                <w:lang w:val="hy-AM"/>
              </w:rPr>
              <w:t>Կառավարության 2023 թվականի ընթացքում Սերբիայի Հանրապետությունից Հայաստանի Հանրապետության տարածք ներմուծվող սերբիական ծագում ունեցող առանձին տեսակի ապրանքների նկատմամբ սակագնային քվոտա սահմանելու, ներմուծման լիցենզիայի ընթացակարգը, մեկանգամյա և գլխավոր լիցենզիաների ձևերը հաստատելու մասին որոշման նախագծի վերաբերյալ դիտողություններ և առաջարկություններ չկան։</w:t>
            </w:r>
            <w:r w:rsidR="00A22824" w:rsidRPr="00A22824">
              <w:rPr>
                <w:rFonts w:ascii="GHEA Grapalat" w:eastAsia="Times New Roman" w:hAnsi="GHEA Grapalat" w:cs="Sylfaen"/>
                <w:sz w:val="24"/>
                <w:szCs w:val="24"/>
                <w:lang w:val="hy-AM"/>
              </w:rPr>
              <w:t xml:space="preserve">      </w:t>
            </w: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tcPr>
          <w:p w14:paraId="5021E4B9" w14:textId="332B2A82" w:rsidR="00206888" w:rsidRPr="00C359A7" w:rsidRDefault="00206888" w:rsidP="00206888">
            <w:pPr>
              <w:spacing w:line="360" w:lineRule="auto"/>
              <w:jc w:val="center"/>
              <w:rPr>
                <w:rFonts w:ascii="GHEA Grapalat" w:hAnsi="GHEA Grapalat"/>
                <w:bCs/>
                <w:sz w:val="24"/>
                <w:szCs w:val="24"/>
                <w:lang w:val="hy-AM"/>
              </w:rPr>
            </w:pPr>
            <w:r w:rsidRPr="00C359A7">
              <w:rPr>
                <w:rFonts w:ascii="GHEA Grapalat" w:hAnsi="GHEA Grapalat"/>
                <w:bCs/>
                <w:sz w:val="24"/>
                <w:szCs w:val="24"/>
                <w:lang w:val="hy-AM"/>
              </w:rPr>
              <w:t>Ընդունվել է</w:t>
            </w:r>
          </w:p>
          <w:p w14:paraId="61987BAA" w14:textId="6307102B" w:rsidR="00206888" w:rsidRPr="003B1DDA" w:rsidRDefault="00206888" w:rsidP="0086253F">
            <w:pPr>
              <w:spacing w:line="360" w:lineRule="auto"/>
              <w:jc w:val="center"/>
              <w:rPr>
                <w:rFonts w:ascii="GHEA Grapalat" w:hAnsi="GHEA Grapalat"/>
                <w:b/>
                <w:sz w:val="24"/>
                <w:szCs w:val="24"/>
                <w:lang w:val="hy-AM"/>
              </w:rPr>
            </w:pPr>
          </w:p>
        </w:tc>
      </w:tr>
    </w:tbl>
    <w:p w14:paraId="5EF4BDE1" w14:textId="77777777" w:rsidR="00241D15" w:rsidRPr="00E35072" w:rsidRDefault="00241D15">
      <w:pPr>
        <w:rPr>
          <w:lang w:val="hy-AM"/>
        </w:rPr>
      </w:pPr>
    </w:p>
    <w:sectPr w:rsidR="00241D15" w:rsidRPr="00E35072" w:rsidSect="00950375">
      <w:pgSz w:w="15840" w:h="12240" w:orient="landscape"/>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SimSun">
    <w:panose1 w:val="02010609030101010101"/>
    <w:charset w:val="86"/>
    <w:family w:val="modern"/>
    <w:pitch w:val="fixed"/>
    <w:sig w:usb0="0000028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60E29"/>
    <w:multiLevelType w:val="hybridMultilevel"/>
    <w:tmpl w:val="2CE48F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2532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E0"/>
    <w:rsid w:val="0003770B"/>
    <w:rsid w:val="000445CA"/>
    <w:rsid w:val="00046ED2"/>
    <w:rsid w:val="00071247"/>
    <w:rsid w:val="0010539F"/>
    <w:rsid w:val="001079C0"/>
    <w:rsid w:val="0013573A"/>
    <w:rsid w:val="00160F9A"/>
    <w:rsid w:val="001818C8"/>
    <w:rsid w:val="00206888"/>
    <w:rsid w:val="00241D15"/>
    <w:rsid w:val="00245774"/>
    <w:rsid w:val="00256392"/>
    <w:rsid w:val="00281BB7"/>
    <w:rsid w:val="002A6DA8"/>
    <w:rsid w:val="002D6D35"/>
    <w:rsid w:val="002E48DF"/>
    <w:rsid w:val="002E4FD3"/>
    <w:rsid w:val="002E53BB"/>
    <w:rsid w:val="003038AC"/>
    <w:rsid w:val="00342C8F"/>
    <w:rsid w:val="00372C57"/>
    <w:rsid w:val="00375854"/>
    <w:rsid w:val="003E4FC9"/>
    <w:rsid w:val="003E6D75"/>
    <w:rsid w:val="00444115"/>
    <w:rsid w:val="0045039B"/>
    <w:rsid w:val="00451FE2"/>
    <w:rsid w:val="004676DC"/>
    <w:rsid w:val="004B44F0"/>
    <w:rsid w:val="004C26B1"/>
    <w:rsid w:val="004E0FE1"/>
    <w:rsid w:val="004E38CE"/>
    <w:rsid w:val="004F22AA"/>
    <w:rsid w:val="00500117"/>
    <w:rsid w:val="00502327"/>
    <w:rsid w:val="00520D90"/>
    <w:rsid w:val="00522E0F"/>
    <w:rsid w:val="00563D36"/>
    <w:rsid w:val="00567B9C"/>
    <w:rsid w:val="005811A1"/>
    <w:rsid w:val="0059408C"/>
    <w:rsid w:val="005A3EF3"/>
    <w:rsid w:val="00613BDE"/>
    <w:rsid w:val="00613E10"/>
    <w:rsid w:val="00661268"/>
    <w:rsid w:val="00666955"/>
    <w:rsid w:val="0067206D"/>
    <w:rsid w:val="00684631"/>
    <w:rsid w:val="006C2D23"/>
    <w:rsid w:val="006E7033"/>
    <w:rsid w:val="006F6671"/>
    <w:rsid w:val="007277AB"/>
    <w:rsid w:val="00742257"/>
    <w:rsid w:val="0075262E"/>
    <w:rsid w:val="00760156"/>
    <w:rsid w:val="007C06A8"/>
    <w:rsid w:val="007E35AE"/>
    <w:rsid w:val="00821495"/>
    <w:rsid w:val="008214A5"/>
    <w:rsid w:val="008223E8"/>
    <w:rsid w:val="0086253F"/>
    <w:rsid w:val="008900C7"/>
    <w:rsid w:val="008B1CAF"/>
    <w:rsid w:val="00915306"/>
    <w:rsid w:val="00935DE0"/>
    <w:rsid w:val="00977467"/>
    <w:rsid w:val="009841A5"/>
    <w:rsid w:val="009D14FE"/>
    <w:rsid w:val="00A22824"/>
    <w:rsid w:val="00A66057"/>
    <w:rsid w:val="00A90F8F"/>
    <w:rsid w:val="00A9682E"/>
    <w:rsid w:val="00AA071D"/>
    <w:rsid w:val="00AA452B"/>
    <w:rsid w:val="00AA4C16"/>
    <w:rsid w:val="00AF586C"/>
    <w:rsid w:val="00B1024D"/>
    <w:rsid w:val="00B5207E"/>
    <w:rsid w:val="00B7645B"/>
    <w:rsid w:val="00C05574"/>
    <w:rsid w:val="00C06AF5"/>
    <w:rsid w:val="00C24624"/>
    <w:rsid w:val="00C359A7"/>
    <w:rsid w:val="00C37DB6"/>
    <w:rsid w:val="00C4633E"/>
    <w:rsid w:val="00CC06E5"/>
    <w:rsid w:val="00CD12CE"/>
    <w:rsid w:val="00CF3712"/>
    <w:rsid w:val="00D177D3"/>
    <w:rsid w:val="00D63781"/>
    <w:rsid w:val="00D74BBA"/>
    <w:rsid w:val="00DA5B8C"/>
    <w:rsid w:val="00DA7F51"/>
    <w:rsid w:val="00DB3011"/>
    <w:rsid w:val="00DC02B4"/>
    <w:rsid w:val="00E042C7"/>
    <w:rsid w:val="00E044D8"/>
    <w:rsid w:val="00E05F50"/>
    <w:rsid w:val="00E11EC7"/>
    <w:rsid w:val="00E35072"/>
    <w:rsid w:val="00E7264A"/>
    <w:rsid w:val="00E7488E"/>
    <w:rsid w:val="00E8545C"/>
    <w:rsid w:val="00EA5677"/>
    <w:rsid w:val="00EA65ED"/>
    <w:rsid w:val="00EF1B1F"/>
    <w:rsid w:val="00F00EEF"/>
    <w:rsid w:val="00F103F9"/>
    <w:rsid w:val="00F161BA"/>
    <w:rsid w:val="00F27DF0"/>
    <w:rsid w:val="00F32B7B"/>
    <w:rsid w:val="00F8260C"/>
    <w:rsid w:val="00F900BA"/>
    <w:rsid w:val="00F92E3C"/>
    <w:rsid w:val="00FB7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C0A1"/>
  <w15:docId w15:val="{EAABCF30-9B73-42BB-9E75-3F03D1B8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81964">
      <w:bodyDiv w:val="1"/>
      <w:marLeft w:val="0"/>
      <w:marRight w:val="0"/>
      <w:marTop w:val="0"/>
      <w:marBottom w:val="0"/>
      <w:divBdr>
        <w:top w:val="none" w:sz="0" w:space="0" w:color="auto"/>
        <w:left w:val="none" w:sz="0" w:space="0" w:color="auto"/>
        <w:bottom w:val="none" w:sz="0" w:space="0" w:color="auto"/>
        <w:right w:val="none" w:sz="0" w:space="0" w:color="auto"/>
      </w:divBdr>
    </w:div>
    <w:div w:id="567109463">
      <w:bodyDiv w:val="1"/>
      <w:marLeft w:val="0"/>
      <w:marRight w:val="0"/>
      <w:marTop w:val="0"/>
      <w:marBottom w:val="0"/>
      <w:divBdr>
        <w:top w:val="none" w:sz="0" w:space="0" w:color="auto"/>
        <w:left w:val="none" w:sz="0" w:space="0" w:color="auto"/>
        <w:bottom w:val="none" w:sz="0" w:space="0" w:color="auto"/>
        <w:right w:val="none" w:sz="0" w:space="0" w:color="auto"/>
      </w:divBdr>
    </w:div>
    <w:div w:id="877015194">
      <w:bodyDiv w:val="1"/>
      <w:marLeft w:val="0"/>
      <w:marRight w:val="0"/>
      <w:marTop w:val="0"/>
      <w:marBottom w:val="0"/>
      <w:divBdr>
        <w:top w:val="none" w:sz="0" w:space="0" w:color="auto"/>
        <w:left w:val="none" w:sz="0" w:space="0" w:color="auto"/>
        <w:bottom w:val="none" w:sz="0" w:space="0" w:color="auto"/>
        <w:right w:val="none" w:sz="0" w:space="0" w:color="auto"/>
      </w:divBdr>
    </w:div>
    <w:div w:id="1041322137">
      <w:bodyDiv w:val="1"/>
      <w:marLeft w:val="0"/>
      <w:marRight w:val="0"/>
      <w:marTop w:val="0"/>
      <w:marBottom w:val="0"/>
      <w:divBdr>
        <w:top w:val="none" w:sz="0" w:space="0" w:color="auto"/>
        <w:left w:val="none" w:sz="0" w:space="0" w:color="auto"/>
        <w:bottom w:val="none" w:sz="0" w:space="0" w:color="auto"/>
        <w:right w:val="none" w:sz="0" w:space="0" w:color="auto"/>
      </w:divBdr>
    </w:div>
    <w:div w:id="1243486876">
      <w:bodyDiv w:val="1"/>
      <w:marLeft w:val="0"/>
      <w:marRight w:val="0"/>
      <w:marTop w:val="0"/>
      <w:marBottom w:val="0"/>
      <w:divBdr>
        <w:top w:val="none" w:sz="0" w:space="0" w:color="auto"/>
        <w:left w:val="none" w:sz="0" w:space="0" w:color="auto"/>
        <w:bottom w:val="none" w:sz="0" w:space="0" w:color="auto"/>
        <w:right w:val="none" w:sz="0" w:space="0" w:color="auto"/>
      </w:divBdr>
    </w:div>
    <w:div w:id="1257055114">
      <w:bodyDiv w:val="1"/>
      <w:marLeft w:val="0"/>
      <w:marRight w:val="0"/>
      <w:marTop w:val="0"/>
      <w:marBottom w:val="0"/>
      <w:divBdr>
        <w:top w:val="none" w:sz="0" w:space="0" w:color="auto"/>
        <w:left w:val="none" w:sz="0" w:space="0" w:color="auto"/>
        <w:bottom w:val="none" w:sz="0" w:space="0" w:color="auto"/>
        <w:right w:val="none" w:sz="0" w:space="0" w:color="auto"/>
      </w:divBdr>
    </w:div>
    <w:div w:id="1425110807">
      <w:bodyDiv w:val="1"/>
      <w:marLeft w:val="0"/>
      <w:marRight w:val="0"/>
      <w:marTop w:val="0"/>
      <w:marBottom w:val="0"/>
      <w:divBdr>
        <w:top w:val="none" w:sz="0" w:space="0" w:color="auto"/>
        <w:left w:val="none" w:sz="0" w:space="0" w:color="auto"/>
        <w:bottom w:val="none" w:sz="0" w:space="0" w:color="auto"/>
        <w:right w:val="none" w:sz="0" w:space="0" w:color="auto"/>
      </w:divBdr>
    </w:div>
    <w:div w:id="1537086851">
      <w:bodyDiv w:val="1"/>
      <w:marLeft w:val="0"/>
      <w:marRight w:val="0"/>
      <w:marTop w:val="0"/>
      <w:marBottom w:val="0"/>
      <w:divBdr>
        <w:top w:val="none" w:sz="0" w:space="0" w:color="auto"/>
        <w:left w:val="none" w:sz="0" w:space="0" w:color="auto"/>
        <w:bottom w:val="none" w:sz="0" w:space="0" w:color="auto"/>
        <w:right w:val="none" w:sz="0" w:space="0" w:color="auto"/>
      </w:divBdr>
    </w:div>
    <w:div w:id="1773739129">
      <w:bodyDiv w:val="1"/>
      <w:marLeft w:val="0"/>
      <w:marRight w:val="0"/>
      <w:marTop w:val="0"/>
      <w:marBottom w:val="0"/>
      <w:divBdr>
        <w:top w:val="none" w:sz="0" w:space="0" w:color="auto"/>
        <w:left w:val="none" w:sz="0" w:space="0" w:color="auto"/>
        <w:bottom w:val="none" w:sz="0" w:space="0" w:color="auto"/>
        <w:right w:val="none" w:sz="0" w:space="0" w:color="auto"/>
      </w:divBdr>
    </w:div>
    <w:div w:id="2043169476">
      <w:bodyDiv w:val="1"/>
      <w:marLeft w:val="0"/>
      <w:marRight w:val="0"/>
      <w:marTop w:val="0"/>
      <w:marBottom w:val="0"/>
      <w:divBdr>
        <w:top w:val="none" w:sz="0" w:space="0" w:color="auto"/>
        <w:left w:val="none" w:sz="0" w:space="0" w:color="auto"/>
        <w:bottom w:val="none" w:sz="0" w:space="0" w:color="auto"/>
        <w:right w:val="none" w:sz="0" w:space="0" w:color="auto"/>
      </w:divBdr>
    </w:div>
    <w:div w:id="20792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3D59C-36ED-4EB5-8983-D82D02E2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4</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A. Ghazaryan</dc:creator>
  <cp:lastModifiedBy>Azgush A. Elazyan</cp:lastModifiedBy>
  <cp:revision>42</cp:revision>
  <dcterms:created xsi:type="dcterms:W3CDTF">2021-10-28T11:51:00Z</dcterms:created>
  <dcterms:modified xsi:type="dcterms:W3CDTF">2022-11-03T13:21:00Z</dcterms:modified>
</cp:coreProperties>
</file>