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9272B" w14:textId="77777777" w:rsidR="004B6F0A" w:rsidRPr="00F125BA" w:rsidRDefault="004B6F0A" w:rsidP="00494A01">
      <w:pPr>
        <w:tabs>
          <w:tab w:val="left" w:pos="993"/>
        </w:tabs>
        <w:spacing w:after="0" w:line="360" w:lineRule="auto"/>
        <w:ind w:left="-720"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F125BA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081073C4" w14:textId="2477517A" w:rsidR="004B6F0A" w:rsidRPr="00C22D77" w:rsidRDefault="004B6F0A" w:rsidP="00494A01">
      <w:pPr>
        <w:spacing w:line="360" w:lineRule="auto"/>
        <w:ind w:left="-720" w:firstLine="720"/>
        <w:jc w:val="center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22D7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«</w:t>
      </w:r>
      <w:r w:rsidR="00B03C89" w:rsidRPr="00C22D7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ՀԱՅԱՍՏԱՆԻ ՀԱՆՐԱՊԵՏՈՒԹՅԱՆ ԿԱՌԱՎԱՐՈՒԹՅԱՆ 2020 ԹՎԱԿԱՆԻ ԱՊՐԻԼԻ 30-Ի N 718-Ն ՈՐՈՇՄԱՆ ՄԵՋ </w:t>
      </w:r>
      <w:r w:rsidR="006968C9" w:rsidRPr="00C22D7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ՓՈՓՈԽՈՒԹՅՈՒՆ</w:t>
      </w:r>
      <w:r w:rsidR="00A317DB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ՆԵՐ</w:t>
      </w:r>
      <w:r w:rsidR="00B2440A" w:rsidRPr="00C22D7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ԵՎ ԼՐԱՑՈՒՄՆԵՐ</w:t>
      </w:r>
      <w:r w:rsidR="00B03C89" w:rsidRPr="00C22D7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ԿԱՏԱՐԵԼՈՒ</w:t>
      </w:r>
      <w:r w:rsidR="003F2193" w:rsidRPr="00C22D7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ՄԱՍԻՆ</w:t>
      </w:r>
      <w:r w:rsidRPr="00C22D7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Pr="00C22D77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</w:t>
      </w:r>
      <w:r w:rsidR="00A15A05" w:rsidRPr="00C22D77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A15A05" w:rsidRPr="00C22D7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(ԱՅՍՈՒՀԵՏ</w:t>
      </w:r>
      <w:r w:rsidR="00451EE7" w:rsidRPr="00C22D7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ԵՎ</w:t>
      </w:r>
      <w:r w:rsidR="00A15A05" w:rsidRPr="00C22D77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` ՆԱԽԱԳԻԾ) ԸՆԴՈՒՆՄԱՆ</w:t>
      </w:r>
    </w:p>
    <w:p w14:paraId="7A35E331" w14:textId="1E60C1D3" w:rsidR="004B6F0A" w:rsidRDefault="00983456" w:rsidP="00494A01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1. </w:t>
      </w:r>
      <w:r w:rsidR="00473BDF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14:paraId="7ACCCEEA" w14:textId="0B9A6D21" w:rsidR="00696ABF" w:rsidRPr="00B2440A" w:rsidRDefault="00095F40" w:rsidP="00095F40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</w:r>
      <w:r w:rsidR="00CE79A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Հայաստանի </w:t>
      </w:r>
      <w:r w:rsid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Հանրապետության կառավարության 2020 թվականի ապրիլի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30-ի N 718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-Ն որոշման մեջ </w:t>
      </w:r>
      <w:r w:rsid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փոփոխություն</w:t>
      </w:r>
      <w:r w:rsidR="009852E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ներ և լրացումներ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կատարելու մասին» </w:t>
      </w:r>
      <w:r w:rsidR="00CE79A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առավարության որոշման նախագծի (այսուհետ</w:t>
      </w:r>
      <w:r w:rsidR="0096628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և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՝ Նախագիծ) ընդունումը պայմանավորված է «Հայաստանի Հանրապետությունում ստուգումների կազմակերպման և անցկացման մասին»</w:t>
      </w:r>
      <w:r w:rsidR="00CE79A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օրենքի 3-րդ հոդվածի 1</w:t>
      </w:r>
      <w:r w:rsidR="00696ABF" w:rsidRPr="00B2440A">
        <w:rPr>
          <w:rFonts w:ascii="Cambria Math" w:eastAsia="Times New Roman" w:hAnsi="Cambria Math" w:cs="Cambria Math"/>
          <w:bCs/>
          <w:iCs/>
          <w:noProof/>
          <w:sz w:val="24"/>
          <w:szCs w:val="24"/>
          <w:lang w:val="hy-AM"/>
        </w:rPr>
        <w:t>․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1 </w:t>
      </w:r>
      <w:r w:rsidR="00696ABF" w:rsidRPr="00B244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մասով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96ABF" w:rsidRPr="00B244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սահմանված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96ABF" w:rsidRPr="00B244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պահանջով</w:t>
      </w:r>
      <w:r w:rsidR="00696ABF" w:rsidRPr="00696A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, </w:t>
      </w:r>
      <w:r w:rsidR="00696ABF" w:rsidRPr="00B244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համաձայն որի՝ ստուգումները իրականացվում են բացառապես Հայաստանի Հանրապետության կառավարության կողմից հաստատված ստուգաթերթերի հիման վրա:</w:t>
      </w:r>
    </w:p>
    <w:p w14:paraId="3B758C0E" w14:textId="371E5CEA" w:rsidR="00B2440A" w:rsidRDefault="00B2440A" w:rsidP="00095F40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B244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98345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  </w:t>
      </w:r>
      <w:r w:rsidR="0098345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</w:r>
      <w:r w:rsidRPr="00B244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Հայաստանի Հանրապետության կառավարության 2020 թվականի ապրիլի 30-ի N 718-Ն որոշմամբ հաստատվել են և 2020 թվականի օգոստոսի 27-ի N 1437-Ն, 2020 թվականի դեկտեմբերի 10-ի N 2046-Ն, 2021 թվականի մայիսի 27-ի N 861-Ն որոշումներով լրացվել են Առողջապահական և աշխատանքի տեսչական մարմնի (այսուհետ</w:t>
      </w:r>
      <w:r w:rsidR="0031221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և</w:t>
      </w:r>
      <w:r w:rsidRPr="00B244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՝ Տեսչական մարմին) կողմից սանիտարահիգիենիկ և հակահամաճարակային, դեղերի շրջանառության և դեղագործական գործունեության, բժշկական օգնության և սպասարկման, ինչպես նաև աշխատողների առողջության պահպանման և անվտանգության ապահովման բնագավառներում իրականացվող ստուգումների ստուգաթերթեր, որոնք չեն ներառում տեսչական մարմնի վերահսկողության ամբողջ շրջանակը և պարբերաբար անհրաժեշտություն է առաջանում որոշման համապատասխան հավելվածներում լրացնել առանձին բնագավառներում վերահսկողություն իրականացնելու վերաբերյալ ստուգաթերթերով։</w:t>
      </w:r>
    </w:p>
    <w:p w14:paraId="5906E86D" w14:textId="5045809C" w:rsidR="00A317DB" w:rsidRPr="00052EBE" w:rsidRDefault="00095F40" w:rsidP="00A317DB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  <w:t>Հաշվի առնելով վերո</w:t>
      </w:r>
      <w:r w:rsidR="00B244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գրյալը նախագծով ներկայացվում է</w:t>
      </w:r>
      <w:r w:rsidR="00B2440A" w:rsidRPr="00B244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B2440A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հաստատել</w:t>
      </w:r>
      <w:r w:rsidR="00B244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ու</w:t>
      </w:r>
      <w:r w:rsidR="00B2440A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B244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</w:t>
      </w:r>
      <w:r w:rsidR="00B2440A" w:rsidRPr="00601E6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անիտարահիգիենիկ և հակահամաճարակային</w:t>
      </w:r>
      <w:r w:rsidR="00B2440A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բնագավառի հետևյալ</w:t>
      </w:r>
      <w:r w:rsidR="0098345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A317D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նոր երկու </w:t>
      </w:r>
      <w:r w:rsidR="00B2440A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ստուգաթերթ</w:t>
      </w:r>
      <w:r w:rsidR="00B244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եր</w:t>
      </w:r>
      <w:r w:rsidR="00B2440A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ը. </w:t>
      </w:r>
      <w:r w:rsidR="00A317D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</w:t>
      </w:r>
      <w:r w:rsidR="00B2440A" w:rsidRPr="00B244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</w:t>
      </w:r>
      <w:r w:rsidR="00B2440A" w:rsidRPr="00A317D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Հելմինթոզների համաճարակաբանական վերա</w:t>
      </w:r>
      <w:r w:rsidR="00A317D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հսկողության» N 1.23 </w:t>
      </w:r>
      <w:r w:rsidR="00A317DB" w:rsidRPr="00A317D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և </w:t>
      </w:r>
      <w:r w:rsidR="00B2440A" w:rsidRPr="00A317D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lastRenderedPageBreak/>
        <w:t>«Մանկապատանեկան մարզադպրոցների գործունեության վերահսկողության» N 1.24 ստուգաթերթ</w:t>
      </w:r>
      <w:r w:rsidR="00A317D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եր</w:t>
      </w:r>
      <w:r w:rsidR="006E14A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ը</w:t>
      </w:r>
      <w:r w:rsidR="006E14A2" w:rsidRPr="00052EB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:</w:t>
      </w:r>
    </w:p>
    <w:p w14:paraId="6E9BCB2C" w14:textId="2CD4FDBB" w:rsidR="00B2440A" w:rsidRDefault="00095F40" w:rsidP="00095F40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</w:r>
      <w:r w:rsidR="00B244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Հարկ է նշել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</w:t>
      </w:r>
      <w:r w:rsidR="00B244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որ Ս</w:t>
      </w:r>
      <w:r w:rsidR="00B2440A" w:rsidRPr="00601E6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անիտարահիգիենիկ և հակահամաճարակային</w:t>
      </w:r>
      <w:r w:rsidR="00B2440A" w:rsidRPr="00B244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B2440A" w:rsidRPr="00443CB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բնագավառ</w:t>
      </w:r>
      <w:r w:rsidR="00B2440A" w:rsidRPr="00412D3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ում ռիսկի վրա հիմնված </w:t>
      </w:r>
      <w:r w:rsidR="00B2440A" w:rsidRPr="00B244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ստուգումների մշակված ստուգաթերթերը տնտեսավարող սուբյեկտների մոտ անցել են նախնական փորձարկում, որոնց ընթացքում արձանագրվել և հաշվի են առնվել վերջիններիս դիտողություններն ու առաջարկությունները, ինչի</w:t>
      </w:r>
      <w:r w:rsidR="00B2440A" w:rsidRPr="00095F40">
        <w:rPr>
          <w:rFonts w:eastAsia="Times New Roman" w:cs="Calibri"/>
          <w:bCs/>
          <w:iCs/>
          <w:noProof/>
          <w:sz w:val="24"/>
          <w:szCs w:val="24"/>
          <w:lang w:val="hy-AM"/>
        </w:rPr>
        <w:t> </w:t>
      </w:r>
      <w:r w:rsidR="00B2440A" w:rsidRPr="00B2440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արդյունքում ստուգաթերթերում ներառվել են ոլորտների առավել ռիսկային հարցերը։</w:t>
      </w:r>
    </w:p>
    <w:p w14:paraId="2010886E" w14:textId="54E62EAD" w:rsidR="006E14A2" w:rsidRDefault="00095F40" w:rsidP="00095F40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</w:r>
      <w:r w:rsid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Միաժամանակ</w:t>
      </w:r>
      <w:r w:rsidR="000B27B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</w:t>
      </w:r>
      <w:r w:rsid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սու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յ</w:t>
      </w:r>
      <w:r w:rsid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 նախագծով առաջարկվում է </w:t>
      </w:r>
      <w:r w:rsidR="003B6405"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Հայաստանի Հանրապետության կառավարության 2020 թվականի ապրիլի 30-ի </w:t>
      </w:r>
      <w:r w:rsidR="003B6405" w:rsidRPr="00095F40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 xml:space="preserve">«Հայաստանի Հանրապետության առողջապահական և աշխատանքի տեսչական մարմնի կողմից իրականացվող ռիսկի վրա հիմնված ստուգումների ստուգաթերթերը հաստատելու մասին» N 718-Ն որոշման </w:t>
      </w:r>
      <w:r w:rsidR="006E14A2" w:rsidRPr="006E14A2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>1-ին կետի 1-ին ենթակետով հաստատված N 1 հավելվածի N 1.11</w:t>
      </w:r>
      <w:r w:rsidR="006E14A2" w:rsidRPr="00052EBE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 xml:space="preserve"> </w:t>
      </w:r>
      <w:r w:rsidR="006E14A2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>և նույն</w:t>
      </w:r>
      <w:r w:rsidR="003B6405" w:rsidRPr="00095F40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 xml:space="preserve"> կետի 4-րդ ենթակետով հաստատված N 4 հավելվածի N 4.1 ստուգաթերթ</w:t>
      </w:r>
      <w:r w:rsidR="006E14A2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>եր</w:t>
      </w:r>
      <w:r w:rsidR="003B6405" w:rsidRPr="00095F40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>ը շարադրել նոր խմբագրությամբ:</w:t>
      </w:r>
    </w:p>
    <w:p w14:paraId="61EDBA41" w14:textId="5B3A7C6A" w:rsidR="003B6405" w:rsidRDefault="006E14A2" w:rsidP="006E14A2">
      <w:pPr>
        <w:tabs>
          <w:tab w:val="left" w:pos="-180"/>
        </w:tabs>
        <w:spacing w:after="0" w:line="360" w:lineRule="auto"/>
        <w:ind w:left="-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</w:r>
      <w:r w:rsidR="0079212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Տ</w:t>
      </w:r>
      <w:r w:rsidR="003B6405"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եսչական մարմնի կողմից աշխատողների առողջության պահպանման և անվտանգության ապահովման բնագավառում ռիսկի վրա հիմնված ստուգումների «Հանքագործական արդյունաբերության և բացահանքերի շահագործման ընթացքում աշխատողների առողջության պահպանման և անվտանգության ապահովման բնագավառի վերահսկողություն» N 4.1 ստուգաթերթ</w:t>
      </w:r>
      <w:r w:rsidR="00A01F8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ով </w:t>
      </w:r>
      <w:r w:rsidR="003B6405"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իրականացվել են Տեսչական մարմնի 2020, 2021 և 2022 թվականների տարեկան ծրագրերով նախատեսված ստուգումները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: Նշված  ժամանակահատվածում ի հայտ են </w:t>
      </w:r>
      <w:r w:rsidR="000B27B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եկել ստուգաթերթում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ինչպես տեխնիկական, այնպես էլ բովան</w:t>
      </w:r>
      <w:r w:rsidR="000B27B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դակային խնդիրներ, որոնք առաջարկվում է շտկել սույն Նախագծով: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 </w:t>
      </w:r>
    </w:p>
    <w:p w14:paraId="09F9B624" w14:textId="56D52CA5" w:rsidR="003B6405" w:rsidRPr="003B6405" w:rsidRDefault="003B6405" w:rsidP="003B6405">
      <w:pPr>
        <w:tabs>
          <w:tab w:val="left" w:pos="993"/>
        </w:tabs>
        <w:spacing w:after="0" w:line="360" w:lineRule="auto"/>
        <w:ind w:left="-720" w:right="-121" w:firstLine="63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Միևնույն ժամանակ, ՀՀ կառավարության 2021 թվականի ապրիլի 22-ի «Հ</w:t>
      </w:r>
      <w:r w:rsidR="003D7D3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այաստանի </w:t>
      </w:r>
      <w:r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 w:rsidR="003D7D3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անրապետության</w:t>
      </w:r>
      <w:r w:rsidR="0079212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կառավարության մի շարք որոշումներ ուժը կորցրած ճանաչելու մասին» N 634-Ն որոշման (այսուհետև՝ Որոշում) 1-ին կետի համաձայն</w:t>
      </w:r>
      <w:r w:rsidR="006E14A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՝</w:t>
      </w:r>
      <w:r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ուժը կորցրած են ճանաչվել </w:t>
      </w:r>
      <w:r w:rsidR="003D7D3D"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 w:rsidR="003D7D3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այաստանի </w:t>
      </w:r>
      <w:r w:rsidR="003D7D3D"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 w:rsidR="003D7D3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անրապետության</w:t>
      </w:r>
      <w:r w:rsidR="003D7D3D"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կառավարության մի շարք որոշումներ։ Որոշմամբ, ի թիվս անվտանգության, անվտանգ շահագործման կանոններ սահմանող այլ տեխնիկական կանոնակարգերի, 2022 թվականի հուլիսի 27-ից ուժը կորցր</w:t>
      </w:r>
      <w:r w:rsidR="006E14A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ած են ճանաչվել</w:t>
      </w:r>
      <w:r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3D7D3D"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 w:rsidR="003D7D3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այաստանի </w:t>
      </w:r>
      <w:r w:rsidR="003D7D3D"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 w:rsidR="003D7D3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անրապետության</w:t>
      </w:r>
      <w:r w:rsidR="003D7D3D"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կառավարության 2009 թվականի հոկտեմբերի 29-ի «Օգտակար հանածոների ջարդման, տեսակավորման և հարստացման անվտանգության կանոններ» </w:t>
      </w:r>
      <w:r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lastRenderedPageBreak/>
        <w:t>տեխնիկական կանոնակար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գը հաստատելու մասին» N 1277-Ն, ՀՀ</w:t>
      </w:r>
      <w:r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կառավարության 2009 թվականի օգոստոսի 27-ի «Ստորերկրյա եղանակով մշակվող օգտակար հանածոների հանքավայրերի անվտանգ շահագործման տեխնիկական կանոնակարգը հաստատելու մասին» N 1083-Ն և ՀՀ կառավարության 2010 թվականի հունվարի 21-ի «Բաց եղանակով մշակվող օգտակար հանածոների հանքավայրերի անվտանգ շահագործման տեխնիկական կանոնակարգը հաստատելու մասին» N 51-Ն որոշումները։ Նշված տեխնիկական կանոնակարգերով սահմանված էին աշխատողների առողջության պահպանման և անվտանգության ապահովման պահանջներ, որոնք ներառված են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A01F8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գործող</w:t>
      </w:r>
      <w:r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ստուգաթերթում։</w:t>
      </w:r>
    </w:p>
    <w:p w14:paraId="4BCD4A2F" w14:textId="16F52657" w:rsidR="003B6405" w:rsidRDefault="003D7D3D" w:rsidP="003B6405">
      <w:pPr>
        <w:tabs>
          <w:tab w:val="left" w:pos="993"/>
        </w:tabs>
        <w:spacing w:after="0" w:line="360" w:lineRule="auto"/>
        <w:ind w:left="-720" w:right="-121" w:firstLine="63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այաստանի </w:t>
      </w:r>
      <w:r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անրապետության</w:t>
      </w:r>
      <w:r w:rsidR="003B6405"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կառավարության 2022 թվականի հուլիսի 7-ի NN 1049-Ն, 1050-Ն, 1051-Ն որոշումներով (ուժի մեջ են մտել 2022 թվականի հուլիսի 24-ից) սահմանվել են «Ստորերկրյա եղանակով մշակվող օգտակար հանածոների հանքավայրերի անվտանգ շահագործման», «Բաց եղանակով մշակվող օգտակար հանածոների հանքավայրերի անվտանգ շահագործման» և «Օգտակար հանածոների ջարդման, տեսակավորման և հարստացման» տեխնիկական անվտանգության կանոնները (այսուհետև՝ Անվտանգության կանոն)։ </w:t>
      </w:r>
    </w:p>
    <w:p w14:paraId="36411226" w14:textId="502644CD" w:rsidR="003B6405" w:rsidRDefault="003D7D3D" w:rsidP="003D7D3D">
      <w:pPr>
        <w:tabs>
          <w:tab w:val="left" w:pos="0"/>
        </w:tabs>
        <w:spacing w:after="0" w:line="360" w:lineRule="auto"/>
        <w:ind w:left="-720" w:right="-121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</w:r>
      <w:r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այաստանի </w:t>
      </w:r>
      <w:r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անրապետության</w:t>
      </w:r>
      <w:r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3B6405"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կառավարության 2019</w:t>
      </w:r>
      <w:r w:rsid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թվականի օգոստոսի 22-ի N 1124-Ն</w:t>
      </w:r>
      <w:r w:rsidR="0079212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3B6405"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որոշմամբ հաստատված հավելվածով</w:t>
      </w:r>
      <w:r w:rsidR="000B27B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(«Տ</w:t>
      </w:r>
      <w:r w:rsidR="000B27B1"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եսչական մարմնի կողմից իրականացվող՝ ռիսկի վրա հիմնված ստուգումների մեթոդաբանությունը և ռիսկայնությունը որոշող չափանիշների ընդհանուր նկարագիրը»</w:t>
      </w:r>
      <w:r w:rsidR="000B27B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)</w:t>
      </w:r>
      <w:r w:rsidR="003B6405"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սահմանված է, որ «Հանքագործական արդյունաբերություն և բացահանքերի շահագործում» (ՏԳՏԴ ծածկագիր՝ B) ոլորտում տնտեսավարող սուբյեկտների ոլորտային ռիսկը կազմում է առավելագույն 100 միավոր, այսինքն</w:t>
      </w:r>
      <w:r w:rsidR="000B27B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՝</w:t>
      </w:r>
      <w:r w:rsidR="003B6405"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ոլորտը հանդիսանում է բարձր ռիսկային։</w:t>
      </w:r>
    </w:p>
    <w:p w14:paraId="1524C7F5" w14:textId="1D998A2D" w:rsidR="0004330F" w:rsidRDefault="000B27B1" w:rsidP="0004330F">
      <w:pPr>
        <w:tabs>
          <w:tab w:val="left" w:pos="993"/>
        </w:tabs>
        <w:spacing w:after="0" w:line="360" w:lineRule="auto"/>
        <w:ind w:left="-720" w:right="-121" w:firstLine="63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Ելնելով վերոգրյալից՝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3D7D3D"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 w:rsidR="003D7D3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այաստանի </w:t>
      </w:r>
      <w:r w:rsidR="003D7D3D"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</w:t>
      </w:r>
      <w:r w:rsidR="003D7D3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անրապետության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կառավարության 2020 թվականի ապրիլի 30-ի N 718-Ն որոշմամբ հաստատված տեսչական մարմնի կողմից աշխատողների առողջության պահպանման և անվտանգության ապահովման բնագավառում ռիսկի վրա հիմնված ստուգումների «Հանքագործական արդյունաբերության և բացահանքերի շահագործման ընթացքում աշխատողների առողջության պահպանման և անվտանգության ապահովման բնագավառի վերահսկողություն N 4.1 </w:t>
      </w:r>
      <w:r w:rsidR="0004330F" w:rsidRPr="0004330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ստուգաթերթի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04330F" w:rsidRPr="0004330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լրամշակման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04330F" w:rsidRPr="0004330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նպատակը</w:t>
      </w:r>
      <w:r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,</w:t>
      </w:r>
      <w:r w:rsidRPr="000B27B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ի թիվս վերոնշյալի</w:t>
      </w:r>
      <w:r w:rsidR="0004330F" w:rsidRPr="0004330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`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04330F" w:rsidRPr="0004330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Հայաստանի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A01F81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Հ</w:t>
      </w:r>
      <w:r w:rsidR="0004330F" w:rsidRPr="0004330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անրապետության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04330F" w:rsidRPr="0004330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կառավարության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2022 </w:t>
      </w:r>
      <w:r w:rsidR="0004330F" w:rsidRPr="0004330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թվականի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04330F" w:rsidRPr="0004330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հուլիսի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7-</w:t>
      </w:r>
      <w:r w:rsidR="0004330F" w:rsidRPr="0004330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ի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NN 1049-</w:t>
      </w:r>
      <w:r w:rsidR="0004330F" w:rsidRPr="0004330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Ն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 1050-</w:t>
      </w:r>
      <w:r w:rsidR="0004330F" w:rsidRPr="0004330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Ն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 1051-</w:t>
      </w:r>
      <w:r w:rsidR="0004330F" w:rsidRPr="0004330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Ն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04330F" w:rsidRPr="0004330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որոշումներով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04330F" w:rsidRPr="0004330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սահմանված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A01F81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ա</w:t>
      </w:r>
      <w:r w:rsidR="0004330F" w:rsidRPr="0004330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նվտանգության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04330F" w:rsidRPr="0004330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կանոններով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` </w:t>
      </w:r>
      <w:r w:rsidR="0004330F" w:rsidRPr="0004330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lastRenderedPageBreak/>
        <w:t>աշխատողների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04330F" w:rsidRPr="0004330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առողջության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04330F" w:rsidRPr="0004330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պահ</w:t>
      </w:r>
      <w:r w:rsidR="0004330F" w:rsidRPr="0004330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պանման և անվտանգության ապահովման նորմեր սահմանող պահանջների ներառման և դրանց պահպանման նկատմամբ վերահսկողության իրականացման ապահովումն է։</w:t>
      </w:r>
    </w:p>
    <w:p w14:paraId="2AA88FA9" w14:textId="23E27188" w:rsidR="00495257" w:rsidRDefault="00A53872" w:rsidP="00495257">
      <w:pPr>
        <w:tabs>
          <w:tab w:val="left" w:pos="993"/>
        </w:tabs>
        <w:spacing w:after="0" w:line="360" w:lineRule="auto"/>
        <w:ind w:left="-720" w:right="-121" w:firstLine="63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6C71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Միաժամանակ</w:t>
      </w:r>
      <w:r w:rsidR="006C71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՝</w:t>
      </w:r>
      <w:r w:rsidRPr="006C71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ինչպես վ</w:t>
      </w:r>
      <w:r w:rsidR="00E47FB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</w:t>
      </w:r>
      <w:r w:rsidRPr="006C71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ր</w:t>
      </w:r>
      <w:r w:rsidR="006C7173" w:rsidRPr="006C71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</w:t>
      </w:r>
      <w:r w:rsidRPr="006C71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գրյալում նշվեց</w:t>
      </w:r>
      <w:r w:rsidR="00E8481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</w:t>
      </w:r>
      <w:r w:rsidR="006C71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C7173" w:rsidRPr="006C71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նոր խմբագրությամբ</w:t>
      </w:r>
      <w:r w:rsidR="006C71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է ներկայացվել նաև</w:t>
      </w:r>
      <w:r w:rsidR="006C7173" w:rsidRPr="006C7173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6C7173"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սանիտարահիգիենիկ և հակահամաճարակային բնագավառի</w:t>
      </w:r>
      <w:r w:rsidR="006C7173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՝ «</w:t>
      </w:r>
      <w:r w:rsidRPr="00942AA1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>Ջրի հավաքման, մշակման և բաշխման նկատմամբ սանիտարահիգիենիկ և հակահամաճարակային վերահսկողությա</w:t>
      </w:r>
      <w:r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>ն»</w:t>
      </w:r>
      <w:r w:rsidRPr="00942AA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N 1.11 ստուգաթերթը</w:t>
      </w:r>
      <w:r w:rsidR="006C71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: Վերջինսի փոփոխ</w:t>
      </w:r>
      <w:r w:rsidR="005330C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ության</w:t>
      </w:r>
      <w:r w:rsidR="006C71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անհրաժեշտությունը պայմանավորված է </w:t>
      </w:r>
      <w:r w:rsidR="006C7173" w:rsidRPr="00D83BD6">
        <w:rPr>
          <w:rFonts w:ascii="GHEA Grapalat" w:hAnsi="GHEA Grapalat"/>
          <w:sz w:val="24"/>
          <w:szCs w:val="24"/>
          <w:lang w:val="hy-AM"/>
        </w:rPr>
        <w:t>Հայաստանի Հանրապետության առողջապահության նախարարի</w:t>
      </w:r>
      <w:r w:rsidR="006C7173">
        <w:rPr>
          <w:rFonts w:ascii="GHEA Grapalat" w:hAnsi="GHEA Grapalat"/>
          <w:sz w:val="24"/>
          <w:szCs w:val="24"/>
          <w:lang w:val="hy-AM"/>
        </w:rPr>
        <w:t xml:space="preserve"> 2002 թվականի </w:t>
      </w:r>
      <w:r w:rsidR="006C7173" w:rsidRPr="00D83BD6">
        <w:rPr>
          <w:rFonts w:ascii="GHEA Grapalat" w:hAnsi="GHEA Grapalat"/>
          <w:sz w:val="24"/>
          <w:szCs w:val="24"/>
          <w:lang w:val="hy-AM"/>
        </w:rPr>
        <w:t>դեկտեմբերի</w:t>
      </w:r>
      <w:r w:rsidR="006C7173">
        <w:rPr>
          <w:rFonts w:ascii="GHEA Grapalat" w:hAnsi="GHEA Grapalat"/>
          <w:sz w:val="24"/>
          <w:szCs w:val="24"/>
          <w:lang w:val="hy-AM"/>
        </w:rPr>
        <w:t xml:space="preserve"> </w:t>
      </w:r>
      <w:r w:rsidR="006C7173" w:rsidRPr="00D83BD6">
        <w:rPr>
          <w:rFonts w:ascii="GHEA Grapalat" w:hAnsi="GHEA Grapalat"/>
          <w:sz w:val="24"/>
          <w:szCs w:val="24"/>
          <w:lang w:val="hy-AM"/>
        </w:rPr>
        <w:t>25</w:t>
      </w:r>
      <w:r w:rsidR="006C7173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6C7173" w:rsidRPr="006C7173">
        <w:rPr>
          <w:rFonts w:ascii="GHEA Grapalat" w:hAnsi="GHEA Grapalat"/>
          <w:i/>
          <w:sz w:val="24"/>
          <w:szCs w:val="24"/>
          <w:lang w:val="hy-AM"/>
        </w:rPr>
        <w:t>««Խմելու ջուր: Ջրամատակարարման կենտրոնացված համակարգերի ջրի որակին ներկայացվող հիգիենիկ պահանջներ: Որակի հսկողություն» N 2-III-Ա 2-1 սանիտարական նորմերը և կանոնները հաստատելու մասին»</w:t>
      </w:r>
      <w:r w:rsidR="006C7173">
        <w:rPr>
          <w:rFonts w:ascii="GHEA Grapalat" w:hAnsi="GHEA Grapalat"/>
          <w:sz w:val="24"/>
          <w:szCs w:val="24"/>
          <w:lang w:val="hy-AM"/>
        </w:rPr>
        <w:t xml:space="preserve"> թիվ </w:t>
      </w:r>
      <w:r w:rsidR="006C7173" w:rsidRPr="00457368">
        <w:rPr>
          <w:rFonts w:ascii="GHEA Grapalat" w:hAnsi="GHEA Grapalat"/>
          <w:sz w:val="24"/>
          <w:szCs w:val="24"/>
          <w:lang w:val="hy-AM"/>
        </w:rPr>
        <w:t>876</w:t>
      </w:r>
      <w:r w:rsidR="006C7173">
        <w:rPr>
          <w:rFonts w:ascii="GHEA Grapalat" w:hAnsi="GHEA Grapalat"/>
          <w:sz w:val="24"/>
          <w:szCs w:val="24"/>
          <w:lang w:val="hy-AM"/>
        </w:rPr>
        <w:t xml:space="preserve"> </w:t>
      </w:r>
      <w:r w:rsidR="006C7173" w:rsidRPr="00457368">
        <w:rPr>
          <w:rFonts w:ascii="GHEA Grapalat" w:hAnsi="GHEA Grapalat"/>
          <w:sz w:val="24"/>
          <w:szCs w:val="24"/>
          <w:lang w:val="hy-AM"/>
        </w:rPr>
        <w:t xml:space="preserve">հրամանում </w:t>
      </w:r>
      <w:r w:rsidR="006C7173">
        <w:rPr>
          <w:rFonts w:ascii="GHEA Grapalat" w:hAnsi="GHEA Grapalat"/>
          <w:sz w:val="24"/>
          <w:szCs w:val="24"/>
          <w:lang w:val="hy-AM"/>
        </w:rPr>
        <w:t>կատարված</w:t>
      </w:r>
      <w:r w:rsidR="006C7173" w:rsidRPr="00457368">
        <w:rPr>
          <w:rFonts w:ascii="GHEA Grapalat" w:hAnsi="GHEA Grapalat"/>
          <w:sz w:val="24"/>
          <w:szCs w:val="24"/>
          <w:lang w:val="hy-AM"/>
        </w:rPr>
        <w:t xml:space="preserve"> փոփոխ</w:t>
      </w:r>
      <w:r w:rsidR="006C7173">
        <w:rPr>
          <w:rFonts w:ascii="GHEA Grapalat" w:hAnsi="GHEA Grapalat"/>
          <w:sz w:val="24"/>
          <w:szCs w:val="24"/>
          <w:lang w:val="hy-AM"/>
        </w:rPr>
        <w:t>ությամբ</w:t>
      </w:r>
      <w:r w:rsidR="00E84817">
        <w:rPr>
          <w:rFonts w:ascii="GHEA Grapalat" w:hAnsi="GHEA Grapalat"/>
          <w:sz w:val="24"/>
          <w:szCs w:val="24"/>
          <w:lang w:val="hy-AM"/>
        </w:rPr>
        <w:t xml:space="preserve">, ըստ որի </w:t>
      </w:r>
      <w:bookmarkStart w:id="0" w:name="_GoBack"/>
      <w:bookmarkEnd w:id="0"/>
      <w:r w:rsidR="005330CD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330CD" w:rsidRPr="005330CD">
        <w:rPr>
          <w:rFonts w:ascii="GHEA Grapalat" w:hAnsi="GHEA Grapalat"/>
          <w:sz w:val="24"/>
          <w:szCs w:val="24"/>
          <w:lang w:val="hy-AM"/>
        </w:rPr>
        <w:t xml:space="preserve"> </w:t>
      </w:r>
      <w:r w:rsidR="005330CD" w:rsidRPr="00D83BD6">
        <w:rPr>
          <w:rFonts w:ascii="GHEA Grapalat" w:hAnsi="GHEA Grapalat"/>
          <w:sz w:val="24"/>
          <w:szCs w:val="24"/>
          <w:lang w:val="hy-AM"/>
        </w:rPr>
        <w:t>առողջապահության նախարարի</w:t>
      </w:r>
      <w:r w:rsidR="005330CD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495257">
        <w:rPr>
          <w:rFonts w:ascii="GHEA Grapalat" w:hAnsi="GHEA Grapalat"/>
          <w:sz w:val="24"/>
          <w:szCs w:val="24"/>
          <w:lang w:val="hy-AM"/>
        </w:rPr>
        <w:t>1</w:t>
      </w:r>
      <w:r w:rsidR="005330CD">
        <w:rPr>
          <w:rFonts w:ascii="GHEA Grapalat" w:hAnsi="GHEA Grapalat"/>
          <w:sz w:val="24"/>
          <w:szCs w:val="24"/>
          <w:lang w:val="hy-AM"/>
        </w:rPr>
        <w:t xml:space="preserve"> թվականի մայիսի 12-ի «</w:t>
      </w:r>
      <w:r w:rsidR="005330CD" w:rsidRPr="005330CD">
        <w:rPr>
          <w:rFonts w:ascii="GHEA Grapalat" w:hAnsi="GHEA Grapalat"/>
          <w:sz w:val="24"/>
          <w:szCs w:val="24"/>
          <w:lang w:val="hy-AM"/>
        </w:rPr>
        <w:t>Հ</w:t>
      </w:r>
      <w:r w:rsidR="005330CD" w:rsidRPr="005330CD">
        <w:rPr>
          <w:rFonts w:ascii="GHEA Grapalat" w:hAnsi="GHEA Grapalat"/>
          <w:bCs/>
          <w:sz w:val="24"/>
          <w:szCs w:val="24"/>
          <w:lang w:val="hy-AM"/>
        </w:rPr>
        <w:t>այաստանի Հանրապետության առողջապահության նախարարի 2002 թվականի դեկտեմբերի 25-ի թիվ 876 հրամանում փոփոխություններ և լրացումներ կատարելու մասին</w:t>
      </w:r>
      <w:r w:rsidR="005330CD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="005330CD" w:rsidRPr="00942AA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</w:t>
      </w:r>
      <w:r w:rsidR="005330C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34 հրամանով </w:t>
      </w:r>
      <w:r w:rsidR="00495257"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(ուժի մեջ են մտել 202</w:t>
      </w:r>
      <w:r w:rsidR="0049525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</w:t>
      </w:r>
      <w:r w:rsidR="00495257"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թվականի </w:t>
      </w:r>
      <w:r w:rsidR="0049525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մայիսի 19</w:t>
      </w:r>
      <w:r w:rsidR="00495257" w:rsidRPr="003B640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-ից)</w:t>
      </w:r>
      <w:r w:rsidR="0049525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սահմանվել է խմելու ջրի սանիտարական նոր կանոններ</w:t>
      </w:r>
      <w:r w:rsidR="00DA1A6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 որ</w:t>
      </w:r>
      <w:r w:rsidR="0049525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</w:t>
      </w:r>
      <w:r w:rsidR="00DA1A6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</w:t>
      </w:r>
      <w:r w:rsidR="0049525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ց վերա</w:t>
      </w:r>
      <w:r w:rsidR="00DA1A6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բ</w:t>
      </w:r>
      <w:r w:rsidR="0049525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երյալ հարցերը առկա չէին ստուգաթերթերում</w:t>
      </w:r>
      <w:r w:rsidR="00DA1A6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կամ առկայությամբ</w:t>
      </w:r>
      <w:r w:rsidR="0049525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DA1A6D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դեպքում վերանայման կարիք ունեին:</w:t>
      </w:r>
    </w:p>
    <w:p w14:paraId="7971486D" w14:textId="1B8F1D04" w:rsidR="0001022F" w:rsidRDefault="00495257" w:rsidP="00495257">
      <w:pPr>
        <w:tabs>
          <w:tab w:val="left" w:pos="993"/>
        </w:tabs>
        <w:spacing w:after="0" w:line="360" w:lineRule="auto"/>
        <w:ind w:left="-720" w:right="-121" w:firstLine="63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D40E35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Հետևաբար</w:t>
      </w:r>
      <w:r w:rsidR="00B35BAF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>,</w:t>
      </w:r>
      <w:r w:rsidR="00D40E35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ո</w:t>
      </w:r>
      <w:r w:rsidR="002C665A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րպեսզի </w:t>
      </w:r>
      <w:r w:rsidR="00696A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696AB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երահսկողական գործառույթների իրականացման ընթացքում տեսչական մարմինը </w:t>
      </w:r>
      <w:r w:rsidR="0001022F">
        <w:rPr>
          <w:rFonts w:ascii="GHEA Grapalat" w:eastAsia="Times New Roman" w:hAnsi="GHEA Grapalat" w:cs="GHEA Grapalat"/>
          <w:sz w:val="24"/>
          <w:szCs w:val="24"/>
          <w:lang w:val="hy-AM"/>
        </w:rPr>
        <w:t>չ</w:t>
      </w:r>
      <w:r w:rsidR="00696ABF">
        <w:rPr>
          <w:rFonts w:ascii="GHEA Grapalat" w:eastAsia="Times New Roman" w:hAnsi="GHEA Grapalat" w:cs="GHEA Grapalat"/>
          <w:sz w:val="24"/>
          <w:szCs w:val="24"/>
          <w:lang w:val="hy-AM"/>
        </w:rPr>
        <w:t>ունենա</w:t>
      </w:r>
      <w:r w:rsidR="0001022F" w:rsidRPr="0001022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01022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խոչընդոտող հանգամանքներ իրավական դաշտում, ինչպես նաև հնարավորություն ունենա խախտման դեպքում կայացնի վարչական ակտ, անհրաժեշտություն է առաջացել կատարել փոփոխություններ և լրացում </w:t>
      </w:r>
      <w:r w:rsidR="0001022F" w:rsidRPr="00C66CE8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 xml:space="preserve">համապատասխան ոլորտի </w:t>
      </w:r>
      <w:proofErr w:type="spellStart"/>
      <w:r w:rsidR="0001022F" w:rsidRPr="00C66CE8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>ստուգաթերթում</w:t>
      </w:r>
      <w:proofErr w:type="spellEnd"/>
      <w:r w:rsidR="0001022F" w:rsidRPr="00C66CE8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>։</w:t>
      </w:r>
    </w:p>
    <w:p w14:paraId="588EACB8" w14:textId="33437A30" w:rsidR="004C725C" w:rsidRDefault="00696ABF" w:rsidP="00494A01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</w:p>
    <w:p w14:paraId="1F84F39E" w14:textId="126AB1F3" w:rsidR="00E75571" w:rsidRDefault="004B6F0A" w:rsidP="00494A01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75571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2. </w:t>
      </w:r>
      <w:r w:rsidR="00E75571" w:rsidRPr="00E75571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  <w:r w:rsidR="00614B3D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14:paraId="4A82B13D" w14:textId="77777777" w:rsidR="00DB607E" w:rsidRPr="0065583E" w:rsidRDefault="00DB607E" w:rsidP="00494A01">
      <w:pPr>
        <w:tabs>
          <w:tab w:val="left" w:pos="993"/>
          <w:tab w:val="left" w:pos="1276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«Հայաստանի Հանրապետությունում ստուգումների կազմակերպման և անցկացման մասին»</w:t>
      </w: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օրենքի 3-րդ հոդվածի 1.1-ին մասի համաձայն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՝</w:t>
      </w: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proofErr w:type="spellStart"/>
      <w:r w:rsidR="00B10D00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</w:t>
      </w: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տուգաթերթերի</w:t>
      </w:r>
      <w:proofErr w:type="spellEnd"/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հարցերը </w:t>
      </w:r>
      <w:proofErr w:type="spellStart"/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ձևավորվում</w:t>
      </w:r>
      <w:proofErr w:type="spellEnd"/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են նվազագույն բավարարության սկզբունքի համաձայն և չեն ընդգրկում այն պահանջները, որոնց պահպանումը չի նպաստում տնտեսավարող սուբյեկտի գործունեությունից առաջացող ռիսկերի նվազեցմանը:</w:t>
      </w:r>
    </w:p>
    <w:p w14:paraId="1BBCA1D8" w14:textId="77777777" w:rsidR="00942AA1" w:rsidRDefault="00DB607E" w:rsidP="00D40E35">
      <w:pPr>
        <w:tabs>
          <w:tab w:val="left" w:pos="993"/>
          <w:tab w:val="left" w:pos="1276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Ն</w:t>
      </w:r>
      <w:r w:rsidR="004B6F0A"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ախագծի ընդունման նպատակն է </w:t>
      </w:r>
      <w:r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հաստատել</w:t>
      </w:r>
      <w:r w:rsidR="0004330F"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` </w:t>
      </w:r>
    </w:p>
    <w:p w14:paraId="11B9E36F" w14:textId="5A35D90D" w:rsidR="00942AA1" w:rsidRDefault="0004330F" w:rsidP="00942AA1">
      <w:pPr>
        <w:pStyle w:val="ListParagraph"/>
        <w:numPr>
          <w:ilvl w:val="0"/>
          <w:numId w:val="14"/>
        </w:numPr>
        <w:tabs>
          <w:tab w:val="left" w:pos="993"/>
          <w:tab w:val="left" w:pos="1276"/>
        </w:tabs>
        <w:spacing w:after="0" w:line="360" w:lineRule="auto"/>
        <w:ind w:left="-720" w:firstLine="72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lastRenderedPageBreak/>
        <w:t xml:space="preserve">սանիտարահիգիենիկ և հակահամաճարակային բնագավառի </w:t>
      </w:r>
      <w:proofErr w:type="spellStart"/>
      <w:r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հետևյալ</w:t>
      </w:r>
      <w:proofErr w:type="spellEnd"/>
      <w:r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proofErr w:type="spellStart"/>
      <w:r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ստուգաթերթերը</w:t>
      </w:r>
      <w:proofErr w:type="spellEnd"/>
      <w:r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. «</w:t>
      </w:r>
      <w:proofErr w:type="spellStart"/>
      <w:r w:rsidRPr="00942AA1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Հելմինթոզների</w:t>
      </w:r>
      <w:proofErr w:type="spellEnd"/>
      <w:r w:rsidRPr="00942AA1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 </w:t>
      </w:r>
      <w:proofErr w:type="spellStart"/>
      <w:r w:rsidRPr="00942AA1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համաճարակաբանական</w:t>
      </w:r>
      <w:proofErr w:type="spellEnd"/>
      <w:r w:rsidRPr="00942AA1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 վերահսկողության» </w:t>
      </w:r>
      <w:r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N 1.23 </w:t>
      </w:r>
      <w:proofErr w:type="spellStart"/>
      <w:r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ստուգաթերթը</w:t>
      </w:r>
      <w:proofErr w:type="spellEnd"/>
      <w:r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, որն ընդգրկում է 15 հարց</w:t>
      </w:r>
      <w:r w:rsidR="00942AA1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,</w:t>
      </w:r>
      <w:r w:rsidRPr="00942AA1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 և «Մանկապատանեկան մարզադպրոցների գործունեության վերահսկողության» </w:t>
      </w:r>
      <w:r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N 1.24 </w:t>
      </w:r>
      <w:proofErr w:type="spellStart"/>
      <w:r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ստուգաթերթը</w:t>
      </w:r>
      <w:proofErr w:type="spellEnd"/>
      <w:r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, որն ընդգրկում է 2</w:t>
      </w:r>
      <w:r w:rsid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1</w:t>
      </w:r>
      <w:r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հարց,</w:t>
      </w:r>
      <w:r w:rsidRPr="00942AA1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 </w:t>
      </w:r>
      <w:r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ինչպես նաև</w:t>
      </w:r>
      <w:r w:rsidR="00DB607E"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նոր խմբագրությամբ</w:t>
      </w:r>
      <w:r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A01F81"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հաստատել</w:t>
      </w:r>
      <w:r w:rsidR="000B27B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նույն բնագավառի</w:t>
      </w:r>
      <w:r w:rsid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՝</w:t>
      </w:r>
      <w:r w:rsidR="00942AA1"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942AA1" w:rsidRPr="00942AA1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>«Ջրի հավաքման, մշակման և բաշխման նկատմամբ սանիտարահիգիենիկ և հակահամաճարակային վերահսկողությա</w:t>
      </w:r>
      <w:r w:rsidR="00942AA1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>ն»</w:t>
      </w:r>
      <w:r w:rsidR="00942AA1" w:rsidRPr="00942AA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N 1.11 ստուգաթերթը, որն ընդգրկում է </w:t>
      </w:r>
      <w:r w:rsidR="00942AA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31</w:t>
      </w:r>
      <w:r w:rsidR="00942AA1" w:rsidRPr="00942AA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հարց</w:t>
      </w:r>
      <w:r w:rsidR="00942AA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.</w:t>
      </w:r>
      <w:r w:rsidR="00942AA1" w:rsidRPr="00942AA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</w:p>
    <w:p w14:paraId="12D65DE2" w14:textId="5751A0EF" w:rsidR="004B35C5" w:rsidRPr="00942AA1" w:rsidRDefault="00942AA1" w:rsidP="004110C4">
      <w:pPr>
        <w:pStyle w:val="ListParagraph"/>
        <w:numPr>
          <w:ilvl w:val="0"/>
          <w:numId w:val="14"/>
        </w:numPr>
        <w:tabs>
          <w:tab w:val="left" w:pos="993"/>
          <w:tab w:val="left" w:pos="1276"/>
        </w:tabs>
        <w:spacing w:after="0" w:line="360" w:lineRule="auto"/>
        <w:ind w:left="-720" w:firstLine="720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942AA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աշխատողների առողջության պահպանման և անվտանգության ապահովման բնագավառում նոր խմբագրությամբ հաստատել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՝ </w:t>
      </w:r>
      <w:r w:rsidR="0004330F" w:rsidRPr="00942AA1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>«Հ</w:t>
      </w:r>
      <w:r w:rsidR="0004330F" w:rsidRPr="00942AA1">
        <w:rPr>
          <w:rFonts w:ascii="GHEA Grapalat" w:hAnsi="GHEA Grapalat" w:cs="Arial"/>
          <w:i/>
          <w:sz w:val="24"/>
          <w:szCs w:val="24"/>
          <w:lang w:val="hy-AM"/>
        </w:rPr>
        <w:t xml:space="preserve">անքագործական արդյունաբերության և </w:t>
      </w:r>
      <w:proofErr w:type="spellStart"/>
      <w:r w:rsidR="0004330F" w:rsidRPr="00942AA1">
        <w:rPr>
          <w:rFonts w:ascii="GHEA Grapalat" w:hAnsi="GHEA Grapalat" w:cs="Arial"/>
          <w:i/>
          <w:sz w:val="24"/>
          <w:szCs w:val="24"/>
          <w:lang w:val="hy-AM"/>
        </w:rPr>
        <w:t>բացահանքերի</w:t>
      </w:r>
      <w:proofErr w:type="spellEnd"/>
      <w:r w:rsidR="0004330F" w:rsidRPr="00942AA1">
        <w:rPr>
          <w:rFonts w:ascii="GHEA Grapalat" w:hAnsi="GHEA Grapalat" w:cs="Arial"/>
          <w:i/>
          <w:sz w:val="24"/>
          <w:szCs w:val="24"/>
          <w:lang w:val="hy-AM"/>
        </w:rPr>
        <w:t xml:space="preserve"> շահագործման ընթացքում աշխատողների առողջության պահպանման և անվտանգության ապահովման բնագավառի վերահսկողության</w:t>
      </w:r>
      <w:r w:rsidR="00D40E35" w:rsidRPr="00942AA1">
        <w:rPr>
          <w:rFonts w:ascii="GHEA Grapalat" w:eastAsia="Times New Roman" w:hAnsi="GHEA Grapalat"/>
          <w:bCs/>
          <w:i/>
          <w:iCs/>
          <w:sz w:val="24"/>
          <w:szCs w:val="24"/>
          <w:lang w:val="hy-AM"/>
        </w:rPr>
        <w:t xml:space="preserve">» </w:t>
      </w:r>
      <w:r w:rsidR="00A317DB" w:rsidRPr="00942AA1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4.1 </w:t>
      </w:r>
      <w:r w:rsidR="00A01F81" w:rsidRPr="00942AA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ստուգաթերթ</w:t>
      </w:r>
      <w:r w:rsidR="00854099" w:rsidRPr="00942AA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ը</w:t>
      </w:r>
      <w:r w:rsidR="004B35C5" w:rsidRPr="00942AA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</w:t>
      </w:r>
      <w:r w:rsidR="004B35C5" w:rsidRPr="00942AA1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4B35C5" w:rsidRPr="00942AA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որն ընդգրկում է </w:t>
      </w:r>
      <w:r w:rsidR="004C725C" w:rsidRPr="00942AA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29</w:t>
      </w:r>
      <w:r w:rsidR="004B35C5" w:rsidRPr="00942AA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հարց:</w:t>
      </w:r>
    </w:p>
    <w:p w14:paraId="44DC7015" w14:textId="5739D834" w:rsidR="00FD55DA" w:rsidRDefault="004B35C5" w:rsidP="00494A01">
      <w:pPr>
        <w:tabs>
          <w:tab w:val="left" w:pos="993"/>
          <w:tab w:val="left" w:pos="1276"/>
        </w:tabs>
        <w:spacing w:after="0" w:line="360" w:lineRule="auto"/>
        <w:ind w:left="-720" w:firstLine="567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proofErr w:type="spellStart"/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Ստուգաթերթի</w:t>
      </w:r>
      <w:proofErr w:type="spellEnd"/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հարցերն ընդգրկում են տնտեսավարող սուբյեկտների նկատմամբ Հայաստանի Հանրապետության օրենքներով և այլ նորմատիվ իրավական ակտերով սահմանված այն պահանջների սպառիչ ցանկը, որոնց խախտումը կարող է վնաս հասցնել</w:t>
      </w:r>
      <w:r w:rsidR="006968C9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մարդու կյանքին կամ առողջությանը</w:t>
      </w:r>
      <w:r w:rsidRPr="006558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:</w:t>
      </w:r>
      <w:r w:rsidR="00DC7454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614B3D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Միաժամանակ, գ</w:t>
      </w:r>
      <w:r w:rsidR="00DB607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ործող </w:t>
      </w:r>
      <w:proofErr w:type="spellStart"/>
      <w:r w:rsidR="00DB607E">
        <w:rPr>
          <w:rFonts w:ascii="GHEA Grapalat" w:eastAsia="Times New Roman" w:hAnsi="GHEA Grapalat" w:cs="GHEA Grapalat"/>
          <w:sz w:val="24"/>
          <w:szCs w:val="24"/>
          <w:lang w:val="hy-AM"/>
        </w:rPr>
        <w:t>ստուգաթերթերում</w:t>
      </w:r>
      <w:proofErr w:type="spellEnd"/>
      <w:r w:rsidR="00DB607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ամրագրված են իրավական ակտերի մասեր, կետեր, ենթակետեր, որոնք արդեն ուժը կորցրած են ճանաչվ</w:t>
      </w:r>
      <w:r w:rsidR="00614B3D">
        <w:rPr>
          <w:rFonts w:ascii="GHEA Grapalat" w:eastAsia="Times New Roman" w:hAnsi="GHEA Grapalat" w:cs="GHEA Grapalat"/>
          <w:sz w:val="24"/>
          <w:szCs w:val="24"/>
          <w:lang w:val="hy-AM"/>
        </w:rPr>
        <w:t>ել կամ փոփոխության են ենթարկվել, ինչի ա</w:t>
      </w:r>
      <w:r w:rsidR="00FD55DA">
        <w:rPr>
          <w:rFonts w:ascii="GHEA Grapalat" w:eastAsia="Times New Roman" w:hAnsi="GHEA Grapalat" w:cs="GHEA Grapalat"/>
          <w:sz w:val="24"/>
          <w:szCs w:val="24"/>
          <w:lang w:val="hy-AM"/>
        </w:rPr>
        <w:t>րդյունքում</w:t>
      </w:r>
      <w:r w:rsidR="000B27B1">
        <w:rPr>
          <w:rFonts w:ascii="GHEA Grapalat" w:eastAsia="Times New Roman" w:hAnsi="GHEA Grapalat" w:cs="GHEA Grapalat"/>
          <w:sz w:val="24"/>
          <w:szCs w:val="24"/>
          <w:lang w:val="hy-AM"/>
        </w:rPr>
        <w:t>,</w:t>
      </w:r>
      <w:r w:rsidR="00FD55DA" w:rsidRPr="00FD55D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FD55DA">
        <w:rPr>
          <w:rFonts w:ascii="GHEA Grapalat" w:eastAsia="Times New Roman" w:hAnsi="GHEA Grapalat" w:cs="GHEA Grapalat"/>
          <w:sz w:val="24"/>
          <w:szCs w:val="24"/>
          <w:lang w:val="hy-AM"/>
        </w:rPr>
        <w:t>վ</w:t>
      </w:r>
      <w:r w:rsidR="00FD55DA"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>երահսկողական գործառույթների իրականացման ընթացքում</w:t>
      </w:r>
      <w:r w:rsidR="00614B3D">
        <w:rPr>
          <w:rFonts w:ascii="GHEA Grapalat" w:eastAsia="Times New Roman" w:hAnsi="GHEA Grapalat" w:cs="GHEA Grapalat"/>
          <w:sz w:val="24"/>
          <w:szCs w:val="24"/>
          <w:lang w:val="hy-AM"/>
        </w:rPr>
        <w:t>,</w:t>
      </w:r>
      <w:r w:rsidR="00D40E35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FD55DA"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տեսչական մարմինը անդադար բախվում է վարչական ակտի կայացման անհնարինության՝ չունենալով համապատասխան ոլորտի </w:t>
      </w:r>
      <w:proofErr w:type="spellStart"/>
      <w:r w:rsidR="00FD55DA"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>ստուգաթերթում</w:t>
      </w:r>
      <w:proofErr w:type="spellEnd"/>
      <w:r w:rsidR="00FD55D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FD55DA"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ներառված </w:t>
      </w:r>
      <w:r w:rsidR="00FD55D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վերոնշյալ տեսակին </w:t>
      </w:r>
      <w:r w:rsidR="00FD55DA"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>համապատասխան պահանջներ</w:t>
      </w:r>
      <w:r w:rsidR="00FD55D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, </w:t>
      </w:r>
      <w:r w:rsidR="00FD55DA"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>ինչն էլ</w:t>
      </w:r>
      <w:r w:rsidR="00614B3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իր </w:t>
      </w:r>
      <w:proofErr w:type="spellStart"/>
      <w:r w:rsidR="00614B3D">
        <w:rPr>
          <w:rFonts w:ascii="GHEA Grapalat" w:eastAsia="Times New Roman" w:hAnsi="GHEA Grapalat" w:cs="GHEA Grapalat"/>
          <w:sz w:val="24"/>
          <w:szCs w:val="24"/>
          <w:lang w:val="hy-AM"/>
        </w:rPr>
        <w:t>հերթիր</w:t>
      </w:r>
      <w:proofErr w:type="spellEnd"/>
      <w:r w:rsidR="00FD55DA" w:rsidRPr="0033577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նվազեցնում է ոլորտի նկատմամբ արդյունավետ վերահսկողություն իրականացնելու հնարավորությունը։ </w:t>
      </w:r>
    </w:p>
    <w:p w14:paraId="79D0813F" w14:textId="77777777" w:rsidR="00155381" w:rsidRDefault="00155381" w:rsidP="00494A01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1FC88AB0" w14:textId="7372B3DA" w:rsidR="004B6F0A" w:rsidRDefault="000D1140" w:rsidP="00494A01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  <w:r w:rsidR="00614B3D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986FC00" w14:textId="0E88A938" w:rsidR="0096628E" w:rsidRDefault="0096628E" w:rsidP="00494A01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4114E0">
        <w:rPr>
          <w:rFonts w:ascii="GHEA Grapalat" w:hAnsi="GHEA Grapalat"/>
          <w:noProof/>
          <w:sz w:val="24"/>
          <w:lang w:val="hy-AM"/>
        </w:rPr>
        <w:t xml:space="preserve">Նախագծի ընդունման արդյունքում ակնկալվում է ապահովել </w:t>
      </w:r>
      <w:r w:rsidRPr="004114E0">
        <w:rPr>
          <w:rFonts w:ascii="GHEA Grapalat" w:hAnsi="GHEA Grapalat"/>
          <w:noProof/>
          <w:color w:val="000000"/>
          <w:sz w:val="24"/>
          <w:lang w:val="hy-AM" w:eastAsia="en-GB"/>
        </w:rPr>
        <w:t>«Հայաստանի Հանրապետությունում ստուգումների կազմակերպման և անցկացման մասին» օրենքի 3-րդ հոդվածի 1.1-ին մասով սահմանված</w:t>
      </w:r>
      <w:r w:rsidRPr="004114E0">
        <w:rPr>
          <w:rFonts w:ascii="GHEA Grapalat" w:hAnsi="GHEA Grapalat"/>
          <w:noProof/>
          <w:sz w:val="24"/>
          <w:lang w:val="hy-AM"/>
        </w:rPr>
        <w:t xml:space="preserve"> պահանջի կատարումը՝ ապահովելով Տեսչական մարմնի </w:t>
      </w:r>
      <w:r w:rsidRPr="004114E0">
        <w:rPr>
          <w:rFonts w:ascii="GHEA Grapalat" w:hAnsi="GHEA Grapalat"/>
          <w:noProof/>
          <w:sz w:val="24"/>
          <w:lang w:val="hy-AM"/>
        </w:rPr>
        <w:lastRenderedPageBreak/>
        <w:t>կողմից</w:t>
      </w:r>
      <w:r w:rsidRPr="004114E0">
        <w:rPr>
          <w:rFonts w:ascii="GHEA Grapalat" w:hAnsi="GHEA Grapalat" w:cs="GHEA Grapalat"/>
          <w:noProof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 xml:space="preserve">համապատասխան </w:t>
      </w:r>
      <w:r w:rsidRPr="004114E0">
        <w:rPr>
          <w:rFonts w:ascii="GHEA Grapalat" w:hAnsi="GHEA Grapalat" w:cs="Sylfaen"/>
          <w:sz w:val="24"/>
          <w:lang w:val="hy-AM"/>
        </w:rPr>
        <w:t xml:space="preserve">ոլորտում </w:t>
      </w:r>
      <w:r w:rsidRPr="004114E0">
        <w:rPr>
          <w:rFonts w:ascii="GHEA Grapalat" w:hAnsi="GHEA Grapalat"/>
          <w:noProof/>
          <w:sz w:val="24"/>
          <w:lang w:val="hy-AM"/>
        </w:rPr>
        <w:t xml:space="preserve">ստուգում իրականացնելու համար </w:t>
      </w:r>
      <w:r w:rsidR="00614B3D">
        <w:rPr>
          <w:rFonts w:ascii="GHEA Grapalat" w:hAnsi="GHEA Grapalat"/>
          <w:noProof/>
          <w:sz w:val="24"/>
          <w:lang w:val="hy-AM"/>
        </w:rPr>
        <w:t xml:space="preserve">անհրաժեշտ և </w:t>
      </w:r>
      <w:r>
        <w:rPr>
          <w:rFonts w:ascii="GHEA Grapalat" w:hAnsi="GHEA Grapalat"/>
          <w:noProof/>
          <w:sz w:val="24"/>
          <w:lang w:val="hy-AM"/>
        </w:rPr>
        <w:t xml:space="preserve">արդիական </w:t>
      </w:r>
      <w:r w:rsidRPr="004114E0">
        <w:rPr>
          <w:rFonts w:ascii="GHEA Grapalat" w:hAnsi="GHEA Grapalat"/>
          <w:noProof/>
          <w:sz w:val="24"/>
          <w:lang w:val="hy-AM"/>
        </w:rPr>
        <w:t>ստուգաթերթ</w:t>
      </w:r>
      <w:r w:rsidR="00614B3D">
        <w:rPr>
          <w:rFonts w:ascii="GHEA Grapalat" w:hAnsi="GHEA Grapalat"/>
          <w:noProof/>
          <w:sz w:val="24"/>
          <w:lang w:val="hy-AM"/>
        </w:rPr>
        <w:t>եր</w:t>
      </w:r>
      <w:r w:rsidRPr="004114E0">
        <w:rPr>
          <w:rFonts w:ascii="GHEA Grapalat" w:hAnsi="GHEA Grapalat"/>
          <w:noProof/>
          <w:sz w:val="24"/>
          <w:lang w:val="hy-AM"/>
        </w:rPr>
        <w:t>ի հաստատումը</w:t>
      </w:r>
      <w:r>
        <w:rPr>
          <w:rFonts w:ascii="GHEA Grapalat" w:hAnsi="GHEA Grapalat"/>
          <w:noProof/>
          <w:sz w:val="24"/>
          <w:lang w:val="hy-AM"/>
        </w:rPr>
        <w:t>:</w:t>
      </w:r>
    </w:p>
    <w:p w14:paraId="1B094D6E" w14:textId="77777777" w:rsidR="00155381" w:rsidRDefault="00155381" w:rsidP="00494A01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3F1D822B" w14:textId="161309FC" w:rsidR="004B6F0A" w:rsidRDefault="000D1140" w:rsidP="00494A01">
      <w:pPr>
        <w:spacing w:after="0" w:line="360" w:lineRule="auto"/>
        <w:ind w:left="-720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  <w:r w:rsidR="00614B3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6A178D1A" w14:textId="2C28D442" w:rsidR="004B6F0A" w:rsidRDefault="004B6F0A" w:rsidP="00494A01">
      <w:pPr>
        <w:spacing w:after="0" w:line="360" w:lineRule="auto"/>
        <w:ind w:left="-720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1022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="00471F2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արչապետի աշխատակազմի տեսչական մարմինների աշխատանքների համակարգման գրասենյակի </w:t>
      </w:r>
      <w:r w:rsidR="007F6485" w:rsidRPr="004415BE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614B3D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>Տ</w:t>
      </w:r>
      <w:r w:rsidR="007F6485" w:rsidRPr="004415BE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>եսչական մարմնի</w:t>
      </w:r>
      <w:r w:rsidR="007F648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471F2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կողմից</w:t>
      </w:r>
      <w:r w:rsidR="00F25BA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համատեղ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14:paraId="5889D7CF" w14:textId="77777777" w:rsidR="00155381" w:rsidRDefault="00155381" w:rsidP="00494A01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48D045A" w14:textId="4EEC4116" w:rsidR="00A15A05" w:rsidRPr="00A15A05" w:rsidRDefault="00A15A05" w:rsidP="00494A01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5. Այլ իրավական ակտերում փոփոխությունների և/կամ լրացումների անհրաժեշտությունը.</w:t>
      </w:r>
    </w:p>
    <w:p w14:paraId="50ECA55F" w14:textId="77777777" w:rsidR="00A15A05" w:rsidRDefault="00A15A05" w:rsidP="00494A01">
      <w:pPr>
        <w:spacing w:after="0" w:line="360" w:lineRule="auto"/>
        <w:ind w:left="-720"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0333ED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31C49880" w14:textId="77777777" w:rsidR="00155381" w:rsidRDefault="00155381" w:rsidP="00494A01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190FB97" w14:textId="3B2912D7" w:rsidR="00A15A05" w:rsidRPr="00A15A05" w:rsidRDefault="00A15A05" w:rsidP="00494A01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6. </w:t>
      </w: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Պետական կամ տեղական ինքնակառավարման մարմնի բյուջեում ծախսերի 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և</w:t>
      </w:r>
      <w:r w:rsidRPr="00A15A05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եկամուտների էական ավելացման կամ նվազեցման մասին</w:t>
      </w: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52108DAC" w14:textId="3C25AD8B" w:rsidR="00A15A05" w:rsidRDefault="00A15A05" w:rsidP="00494A01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33ED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0C7F7103" w14:textId="77777777" w:rsidR="00614B3D" w:rsidRDefault="00614B3D" w:rsidP="00494A01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017D3B4" w14:textId="101F2675" w:rsidR="00C95195" w:rsidRPr="009B594C" w:rsidRDefault="00C95195" w:rsidP="00494A01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7. </w:t>
      </w:r>
      <w:r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  <w:r w:rsidR="00614B3D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7D80DC" w14:textId="0AA7FD13" w:rsidR="004B6F0A" w:rsidRDefault="00C95195" w:rsidP="00494A01">
      <w:pPr>
        <w:tabs>
          <w:tab w:val="left" w:pos="567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ab/>
      </w:r>
      <w:r w:rsidR="00E60EE1">
        <w:rPr>
          <w:rFonts w:ascii="GHEA Grapalat" w:hAnsi="GHEA Grapalat"/>
          <w:sz w:val="24"/>
          <w:lang w:val="hy-AM"/>
        </w:rPr>
        <w:t>Ն</w:t>
      </w:r>
      <w:r w:rsidR="00E60EE1" w:rsidRPr="00136E7F">
        <w:rPr>
          <w:rFonts w:ascii="GHEA Grapalat" w:hAnsi="GHEA Grapalat"/>
          <w:sz w:val="24"/>
          <w:lang w:val="hy-AM"/>
        </w:rPr>
        <w:t xml:space="preserve">ախագիծը չի բխում «Հայաստանի վերափոխման ռազմավարություն 2050» ռազմավարական փաստաթղթից, Կառավարության 2021-2026 թթ. ծրագրից, ոլորտային և/կամ այլ </w:t>
      </w:r>
      <w:proofErr w:type="spellStart"/>
      <w:r w:rsidR="00E60EE1" w:rsidRPr="00136E7F">
        <w:rPr>
          <w:rFonts w:ascii="GHEA Grapalat" w:hAnsi="GHEA Grapalat"/>
          <w:sz w:val="24"/>
          <w:lang w:val="hy-AM"/>
        </w:rPr>
        <w:t>ռազմավարություններից</w:t>
      </w:r>
      <w:proofErr w:type="spellEnd"/>
      <w:r w:rsidR="00E60EE1" w:rsidRPr="00136E7F">
        <w:rPr>
          <w:rFonts w:ascii="GHEA Grapalat" w:hAnsi="GHEA Grapalat"/>
          <w:sz w:val="24"/>
          <w:lang w:val="hy-AM"/>
        </w:rPr>
        <w:t>։</w:t>
      </w:r>
    </w:p>
    <w:sectPr w:rsidR="004B6F0A" w:rsidSect="00614B3D">
      <w:pgSz w:w="12240" w:h="15840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11"/>
  </w:num>
  <w:num w:numId="7">
    <w:abstractNumId w:val="0"/>
  </w:num>
  <w:num w:numId="8">
    <w:abstractNumId w:val="10"/>
  </w:num>
  <w:num w:numId="9">
    <w:abstractNumId w:val="8"/>
  </w:num>
  <w:num w:numId="10">
    <w:abstractNumId w:val="13"/>
  </w:num>
  <w:num w:numId="11">
    <w:abstractNumId w:val="1"/>
  </w:num>
  <w:num w:numId="12">
    <w:abstractNumId w:val="12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1022F"/>
    <w:rsid w:val="0004330F"/>
    <w:rsid w:val="00052EBE"/>
    <w:rsid w:val="00054F08"/>
    <w:rsid w:val="00095F40"/>
    <w:rsid w:val="0009748B"/>
    <w:rsid w:val="000A7804"/>
    <w:rsid w:val="000B27B1"/>
    <w:rsid w:val="000D1140"/>
    <w:rsid w:val="000D1BFE"/>
    <w:rsid w:val="000D6E33"/>
    <w:rsid w:val="000E7E81"/>
    <w:rsid w:val="00102B81"/>
    <w:rsid w:val="0011213E"/>
    <w:rsid w:val="001222C1"/>
    <w:rsid w:val="00132DD0"/>
    <w:rsid w:val="00154130"/>
    <w:rsid w:val="00155381"/>
    <w:rsid w:val="001640F8"/>
    <w:rsid w:val="00173EDB"/>
    <w:rsid w:val="00175B3B"/>
    <w:rsid w:val="001D543F"/>
    <w:rsid w:val="00204BA0"/>
    <w:rsid w:val="002223A9"/>
    <w:rsid w:val="002621AC"/>
    <w:rsid w:val="002856EE"/>
    <w:rsid w:val="002C665A"/>
    <w:rsid w:val="00312216"/>
    <w:rsid w:val="00353C0A"/>
    <w:rsid w:val="00360346"/>
    <w:rsid w:val="00383BD8"/>
    <w:rsid w:val="003B6405"/>
    <w:rsid w:val="003D7D3D"/>
    <w:rsid w:val="003F1CF6"/>
    <w:rsid w:val="003F2193"/>
    <w:rsid w:val="003F66B9"/>
    <w:rsid w:val="00412D31"/>
    <w:rsid w:val="00412F93"/>
    <w:rsid w:val="004220A2"/>
    <w:rsid w:val="004231C5"/>
    <w:rsid w:val="00425E8A"/>
    <w:rsid w:val="00443CBC"/>
    <w:rsid w:val="00451EE7"/>
    <w:rsid w:val="00453C84"/>
    <w:rsid w:val="0046524C"/>
    <w:rsid w:val="00471F2A"/>
    <w:rsid w:val="00473735"/>
    <w:rsid w:val="00473BDF"/>
    <w:rsid w:val="004814F2"/>
    <w:rsid w:val="00494A01"/>
    <w:rsid w:val="00495257"/>
    <w:rsid w:val="004A1A4D"/>
    <w:rsid w:val="004B35C5"/>
    <w:rsid w:val="004B6F0A"/>
    <w:rsid w:val="004C725C"/>
    <w:rsid w:val="004E230E"/>
    <w:rsid w:val="004E4B69"/>
    <w:rsid w:val="004E500F"/>
    <w:rsid w:val="005106B7"/>
    <w:rsid w:val="005330CD"/>
    <w:rsid w:val="005474E0"/>
    <w:rsid w:val="00580A33"/>
    <w:rsid w:val="005D19CD"/>
    <w:rsid w:val="005E3CE0"/>
    <w:rsid w:val="005E4272"/>
    <w:rsid w:val="005F4DD3"/>
    <w:rsid w:val="00601E68"/>
    <w:rsid w:val="00614B3D"/>
    <w:rsid w:val="00616624"/>
    <w:rsid w:val="00641304"/>
    <w:rsid w:val="0065583E"/>
    <w:rsid w:val="00662B06"/>
    <w:rsid w:val="006968C9"/>
    <w:rsid w:val="00696ABF"/>
    <w:rsid w:val="006B4940"/>
    <w:rsid w:val="006C3CC4"/>
    <w:rsid w:val="006C7173"/>
    <w:rsid w:val="006D4664"/>
    <w:rsid w:val="006D7E9C"/>
    <w:rsid w:val="006E14A2"/>
    <w:rsid w:val="00714BE0"/>
    <w:rsid w:val="00715BA5"/>
    <w:rsid w:val="007215E5"/>
    <w:rsid w:val="00747F8F"/>
    <w:rsid w:val="0075170A"/>
    <w:rsid w:val="00765AF0"/>
    <w:rsid w:val="00792122"/>
    <w:rsid w:val="00792BFE"/>
    <w:rsid w:val="007C5A56"/>
    <w:rsid w:val="007F6485"/>
    <w:rsid w:val="007F693B"/>
    <w:rsid w:val="00800634"/>
    <w:rsid w:val="00801FD3"/>
    <w:rsid w:val="008137A8"/>
    <w:rsid w:val="00833476"/>
    <w:rsid w:val="00854099"/>
    <w:rsid w:val="008A564D"/>
    <w:rsid w:val="008E5805"/>
    <w:rsid w:val="009056A1"/>
    <w:rsid w:val="009138BA"/>
    <w:rsid w:val="00925DD8"/>
    <w:rsid w:val="00942AA1"/>
    <w:rsid w:val="009464BF"/>
    <w:rsid w:val="0096628E"/>
    <w:rsid w:val="0097389F"/>
    <w:rsid w:val="00983456"/>
    <w:rsid w:val="009852EE"/>
    <w:rsid w:val="00995F39"/>
    <w:rsid w:val="009B2386"/>
    <w:rsid w:val="009B3D97"/>
    <w:rsid w:val="009E23C0"/>
    <w:rsid w:val="009F6C3B"/>
    <w:rsid w:val="00A01F81"/>
    <w:rsid w:val="00A15A05"/>
    <w:rsid w:val="00A23F41"/>
    <w:rsid w:val="00A317DB"/>
    <w:rsid w:val="00A43EA1"/>
    <w:rsid w:val="00A53872"/>
    <w:rsid w:val="00A61CD8"/>
    <w:rsid w:val="00AA4580"/>
    <w:rsid w:val="00AC51CB"/>
    <w:rsid w:val="00AD4F21"/>
    <w:rsid w:val="00AE1E8A"/>
    <w:rsid w:val="00AF16E0"/>
    <w:rsid w:val="00AF259E"/>
    <w:rsid w:val="00B03C89"/>
    <w:rsid w:val="00B10D00"/>
    <w:rsid w:val="00B1324F"/>
    <w:rsid w:val="00B21D11"/>
    <w:rsid w:val="00B22629"/>
    <w:rsid w:val="00B2440A"/>
    <w:rsid w:val="00B35BAF"/>
    <w:rsid w:val="00B70074"/>
    <w:rsid w:val="00BD258A"/>
    <w:rsid w:val="00C209B4"/>
    <w:rsid w:val="00C21520"/>
    <w:rsid w:val="00C22D77"/>
    <w:rsid w:val="00C25091"/>
    <w:rsid w:val="00C63A67"/>
    <w:rsid w:val="00C75A55"/>
    <w:rsid w:val="00C94D63"/>
    <w:rsid w:val="00C95195"/>
    <w:rsid w:val="00CA54E0"/>
    <w:rsid w:val="00CE5C24"/>
    <w:rsid w:val="00CE79AD"/>
    <w:rsid w:val="00CF6BB2"/>
    <w:rsid w:val="00D252A4"/>
    <w:rsid w:val="00D25A13"/>
    <w:rsid w:val="00D40E35"/>
    <w:rsid w:val="00D42A30"/>
    <w:rsid w:val="00DA1A6D"/>
    <w:rsid w:val="00DB607E"/>
    <w:rsid w:val="00DC7454"/>
    <w:rsid w:val="00DF78EB"/>
    <w:rsid w:val="00E267F1"/>
    <w:rsid w:val="00E32830"/>
    <w:rsid w:val="00E47FBD"/>
    <w:rsid w:val="00E510FC"/>
    <w:rsid w:val="00E60EE1"/>
    <w:rsid w:val="00E75571"/>
    <w:rsid w:val="00E84817"/>
    <w:rsid w:val="00E87F3C"/>
    <w:rsid w:val="00EA5FA3"/>
    <w:rsid w:val="00EB0FBD"/>
    <w:rsid w:val="00EC2154"/>
    <w:rsid w:val="00F125BA"/>
    <w:rsid w:val="00F161CF"/>
    <w:rsid w:val="00F25BA7"/>
    <w:rsid w:val="00F2700B"/>
    <w:rsid w:val="00F57540"/>
    <w:rsid w:val="00F647E7"/>
    <w:rsid w:val="00F84366"/>
    <w:rsid w:val="00F85DB6"/>
    <w:rsid w:val="00FA5AF2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A43A2598-3D32-4763-9209-13F287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lastModifiedBy>Vera Zurnachyan</cp:lastModifiedBy>
  <cp:revision>11</cp:revision>
  <dcterms:created xsi:type="dcterms:W3CDTF">2022-09-29T06:34:00Z</dcterms:created>
  <dcterms:modified xsi:type="dcterms:W3CDTF">2022-09-29T09:42:00Z</dcterms:modified>
</cp:coreProperties>
</file>