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56B" w:rsidRDefault="00D5656B" w:rsidP="00D5656B">
      <w:pPr>
        <w:pStyle w:val="BodyText3"/>
        <w:spacing w:after="80"/>
        <w:jc w:val="center"/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</w:pPr>
      <w:r>
        <w:rPr>
          <w:rFonts w:ascii="GHEA Grapalat" w:eastAsiaTheme="minorHAnsi" w:hAnsi="GHEA Grapalat" w:cs="Sylfaen"/>
          <w:b/>
          <w:i/>
          <w:sz w:val="24"/>
          <w:szCs w:val="24"/>
          <w:lang w:val="hy-AM" w:eastAsia="en-US"/>
        </w:rPr>
        <w:t>ՀԻՄՆԱՎՈՐՈՒՄ</w:t>
      </w:r>
    </w:p>
    <w:p w:rsidR="00D5656B" w:rsidRPr="00D5656B" w:rsidRDefault="00D5656B" w:rsidP="00D5656B">
      <w:pPr>
        <w:shd w:val="clear" w:color="auto" w:fill="FFFFFF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  <w:r w:rsidRPr="00D5656B">
        <w:rPr>
          <w:rFonts w:ascii="GHEA Grapalat" w:hAnsi="GHEA Grapalat" w:cs="Sylfaen"/>
          <w:b/>
          <w:i/>
          <w:sz w:val="24"/>
          <w:szCs w:val="24"/>
          <w:lang w:val="hy-AM"/>
        </w:rPr>
        <w:t>«Հայաստանի Հանրապետության էլեկտրաէներգետիկական համակարգում սակագների հաշվարկման մեթոդիկան, սակագների սահմանման ու վերանայման կարգը հաստատելու, Հայաստանի Հանրապետության հանրային ծառայությունները կարգավորող հանձնաժողովի 2013 թվականի հոկտեմբերի 23-ի №359Ն, 2007 թվականի հունիսի 15-ի №275Ն որոշումների մեջ փոփոխություններ և լրացումներ կատարելու և Հայաստանի Հանրապետության հանրային ծառայությունները կարգավորող հանձնաժողովի մի շարք որոշումներ ուժը կորցրած ճանաչելու մասին»</w:t>
      </w:r>
      <w:r w:rsidR="002548CA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ՀՀ </w:t>
      </w:r>
      <w:r w:rsidRPr="00D5656B">
        <w:rPr>
          <w:rFonts w:ascii="GHEA Grapalat" w:hAnsi="GHEA Grapalat" w:cs="Sylfaen"/>
          <w:b/>
          <w:i/>
          <w:sz w:val="24"/>
          <w:szCs w:val="24"/>
          <w:lang w:val="hy-AM"/>
        </w:rPr>
        <w:t>հանրային ծառայությունները կարգավորող հանձնաժողովի որոշմ</w:t>
      </w:r>
      <w:r w:rsidR="00DF181B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 w:rsidRPr="00D5656B">
        <w:rPr>
          <w:rFonts w:ascii="GHEA Grapalat" w:hAnsi="GHEA Grapalat" w:cs="Sylfaen"/>
          <w:b/>
          <w:i/>
          <w:sz w:val="24"/>
          <w:szCs w:val="24"/>
          <w:lang w:val="hy-AM"/>
        </w:rPr>
        <w:t>ն նախագծ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ի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վերաբերյալ</w:t>
      </w:r>
    </w:p>
    <w:p w:rsidR="00D5656B" w:rsidRPr="00D5656B" w:rsidRDefault="00D5656B" w:rsidP="00D5656B">
      <w:pPr>
        <w:shd w:val="clear" w:color="auto" w:fill="FFFFFF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D5656B" w:rsidRDefault="00D5656B" w:rsidP="00D5656B">
      <w:pPr>
        <w:pStyle w:val="BodyText3"/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Ընթացիկ իրավիճակը, խնդիրները և անհրաժեշտությունը</w:t>
      </w:r>
    </w:p>
    <w:p w:rsidR="0036018D" w:rsidRDefault="00F26CBD" w:rsidP="0036018D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ՀՀ հանրային ծառայությունները կարգավորող հանձնաժողովի որոշումներով էլեկտրաէներգետիկական համակարգի տարբեր ընկերությունների (արտադրող (այդ թվում՝ մինչև 30 ՄՎտ հզորությամբ կայանների համար), հաղորդող, բաշխող, մատակարար) համար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հաստատված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են սակագների հաշվարկման մեթոդիկաներ, որոն</w:t>
      </w:r>
      <w:r w:rsidR="0036018D">
        <w:rPr>
          <w:rFonts w:ascii="GHEA Grapalat" w:hAnsi="GHEA Grapalat" w:cs="Sylfaen"/>
          <w:spacing w:val="-4"/>
          <w:sz w:val="24"/>
          <w:szCs w:val="24"/>
          <w:lang w:val="hy-AM"/>
        </w:rPr>
        <w:t>ց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հիմքում ընկած են սակագների հաշվարկման նույն սկզբունքները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։ </w:t>
      </w:r>
      <w:r w:rsidR="0036018D">
        <w:rPr>
          <w:rFonts w:ascii="GHEA Grapalat" w:hAnsi="GHEA Grapalat" w:cs="Sylfaen"/>
          <w:spacing w:val="-4"/>
          <w:sz w:val="24"/>
          <w:szCs w:val="24"/>
          <w:lang w:val="hy-AM"/>
        </w:rPr>
        <w:t>Մ</w:t>
      </w:r>
      <w:r w:rsidR="0036018D">
        <w:rPr>
          <w:rFonts w:ascii="GHEA Grapalat" w:hAnsi="GHEA Grapalat" w:cs="Sylfaen"/>
          <w:spacing w:val="-4"/>
          <w:sz w:val="24"/>
          <w:szCs w:val="24"/>
          <w:lang w:val="hy-AM"/>
        </w:rPr>
        <w:t>ինչև 2021 թվականը, մասնավորապես արտադրող կայանների մասով առկա էին սակագների կառուցվածքի տարբերակումներ (երկդրույք և միադրույք սակագների մասով), իսկ էլեկտրաէներգետիկական համակարգին ծառայություններ մատուցողների մասով սահմանված էին հաստատագրված վճարներ։</w:t>
      </w:r>
      <w:r w:rsidR="0036018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</w:p>
    <w:p w:rsidR="0036018D" w:rsidRDefault="0036018D" w:rsidP="0036018D">
      <w:pPr>
        <w:spacing w:line="360" w:lineRule="auto"/>
        <w:ind w:firstLine="426"/>
        <w:jc w:val="both"/>
        <w:rPr>
          <w:rFonts w:ascii="GHEA Grapalat" w:hAnsi="GHEA Grapalat"/>
          <w:sz w:val="24"/>
          <w:szCs w:val="24"/>
          <w:lang w:val="hy-AM" w:eastAsia="en-US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ՀՀ հանրային ծառայությունները կարգավորող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հանձնաժողովի 2019 թվականի դեկտեմբերի 25-ի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№516Ն որոշմամբ սահմանվել են ՀՀ </w:t>
      </w:r>
      <w:r>
        <w:rPr>
          <w:rFonts w:ascii="GHEA Grapalat" w:hAnsi="GHEA Grapalat"/>
          <w:sz w:val="24"/>
          <w:szCs w:val="24"/>
          <w:lang w:val="hy-AM"/>
        </w:rPr>
        <w:t xml:space="preserve">էլեկտրաէներգետիկական մեծածախ շուկայի առևտրային կանոնները, որոնք ուժի մեջ </w:t>
      </w:r>
      <w:r>
        <w:rPr>
          <w:rFonts w:ascii="GHEA Grapalat" w:hAnsi="GHEA Grapalat"/>
          <w:sz w:val="24"/>
          <w:szCs w:val="24"/>
          <w:lang w:val="hy-AM"/>
        </w:rPr>
        <w:t>են</w:t>
      </w:r>
      <w:r>
        <w:rPr>
          <w:rFonts w:ascii="GHEA Grapalat" w:hAnsi="GHEA Grapalat"/>
          <w:sz w:val="24"/>
          <w:szCs w:val="24"/>
          <w:lang w:val="hy-AM"/>
        </w:rPr>
        <w:t xml:space="preserve"> մտե</w:t>
      </w:r>
      <w:r>
        <w:rPr>
          <w:rFonts w:ascii="GHEA Grapalat" w:hAnsi="GHEA Grapalat"/>
          <w:sz w:val="24"/>
          <w:szCs w:val="24"/>
          <w:lang w:val="hy-AM"/>
        </w:rPr>
        <w:t>լ</w:t>
      </w:r>
      <w:r>
        <w:rPr>
          <w:rFonts w:ascii="GHEA Grapalat" w:hAnsi="GHEA Grapalat"/>
          <w:sz w:val="24"/>
          <w:szCs w:val="24"/>
          <w:lang w:val="hy-AM"/>
        </w:rPr>
        <w:t xml:space="preserve"> 2022 թվականի փետրվարի 1-ից։ Համաձայն վերոնշյալ շուկայի առևտրային կանոնների՝ արտադրողները դասակարգվել են </w:t>
      </w:r>
      <w:r>
        <w:rPr>
          <w:rFonts w:ascii="GHEA Grapalat" w:hAnsi="GHEA Grapalat"/>
          <w:sz w:val="24"/>
          <w:szCs w:val="24"/>
          <w:lang w:val="hy-AM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խմբեր</w:t>
      </w:r>
      <w:r>
        <w:rPr>
          <w:rFonts w:ascii="GHEA Grapalat" w:hAnsi="GHEA Grapalat"/>
          <w:sz w:val="24"/>
          <w:szCs w:val="24"/>
          <w:lang w:val="hy-AM"/>
        </w:rPr>
        <w:t>ում</w:t>
      </w:r>
      <w:r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որոնցից</w:t>
      </w:r>
      <w:r>
        <w:rPr>
          <w:rFonts w:ascii="GHEA Grapalat" w:hAnsi="GHEA Grapalat"/>
          <w:sz w:val="24"/>
          <w:szCs w:val="24"/>
          <w:lang w:val="hy-AM"/>
        </w:rPr>
        <w:t xml:space="preserve"> մրցակցային պայմաններով գործող արտադրողների գործունեությունը ենթակա չ</w:t>
      </w:r>
      <w:r>
        <w:rPr>
          <w:rFonts w:ascii="GHEA Grapalat" w:hAnsi="GHEA Grapalat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սակագնային կարգավորման։ Միաժամանակ, էլեկտրաէներգետիկական շուկայի նոր մոդելից բխում է</w:t>
      </w:r>
      <w:r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 xml:space="preserve">, որ սակագնային կարգավորման ենթակա արտադրողները պետք է գործեն միադրույք սակագնային համակարգում, բացառությամբ պետություն-մասնավոր գործընկերության </w:t>
      </w:r>
      <w:r>
        <w:rPr>
          <w:rFonts w:ascii="GHEA Grapalat" w:hAnsi="GHEA Grapalat"/>
          <w:sz w:val="24"/>
          <w:szCs w:val="24"/>
          <w:lang w:val="hy-AM"/>
        </w:rPr>
        <w:lastRenderedPageBreak/>
        <w:t>պայմանագրերի շրջանակում գործող արտադրողների, որոնց նկատմամբ կիրառվող սակագնային քաղաքականությունն ամրագրված է նշված պայմանագրով։</w:t>
      </w:r>
    </w:p>
    <w:p w:rsidR="00F5166E" w:rsidRDefault="0036018D" w:rsidP="0036018D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Հաշվի առնելով նշվածը՝ 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>202</w:t>
      </w:r>
      <w:r w:rsidR="0026782B">
        <w:rPr>
          <w:rFonts w:ascii="GHEA Grapalat" w:hAnsi="GHEA Grapalat" w:cs="Sylfaen"/>
          <w:spacing w:val="-4"/>
          <w:sz w:val="24"/>
          <w:szCs w:val="24"/>
          <w:lang w:val="hy-AM"/>
        </w:rPr>
        <w:t>2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թվականի</w:t>
      </w:r>
      <w:r w:rsidR="0026782B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փետրվարի 1-ից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արտադրող կայանների մասով (բացառությամբ՝ ՊՄԳ պայմանագրերով գործող կայանների) ս</w:t>
      </w:r>
      <w:r w:rsidR="00F26CBD">
        <w:rPr>
          <w:rFonts w:ascii="GHEA Grapalat" w:hAnsi="GHEA Grapalat" w:cs="Sylfaen"/>
          <w:spacing w:val="-4"/>
          <w:sz w:val="24"/>
          <w:szCs w:val="24"/>
          <w:lang w:val="hy-AM"/>
        </w:rPr>
        <w:t>ահմանվ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>եցին միա</w:t>
      </w:r>
      <w:r w:rsidR="00F26CBD">
        <w:rPr>
          <w:rFonts w:ascii="GHEA Grapalat" w:hAnsi="GHEA Grapalat" w:cs="Sylfaen"/>
          <w:spacing w:val="-4"/>
          <w:sz w:val="24"/>
          <w:szCs w:val="24"/>
          <w:lang w:val="hy-AM"/>
        </w:rPr>
        <w:t>դրույք սակագներ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, իսկ 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>էլեկտրաէներգետիկական համակարգին ծառայություններ մատուցողների</w:t>
      </w:r>
      <w:r w:rsidR="00F26CB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>համար սահմանվող սակագների համար չափման միավոր սահմանվեց դրամ/կՎտժ-ը</w:t>
      </w:r>
      <w:r w:rsidR="00F5166E">
        <w:rPr>
          <w:rFonts w:ascii="GHEA Grapalat" w:hAnsi="GHEA Grapalat" w:cs="Sylfaen"/>
          <w:spacing w:val="-4"/>
          <w:sz w:val="24"/>
          <w:szCs w:val="24"/>
          <w:lang w:val="hy-AM"/>
        </w:rPr>
        <w:t>։</w:t>
      </w:r>
    </w:p>
    <w:p w:rsidR="00F26CBD" w:rsidRDefault="00F5166E" w:rsidP="0036018D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Նշված փոփոխություններով պայմանավորված, ի թիվս այլ հարցերի,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անհրաժեշտություն է առաջացել կարգավորվող ընկերությունների համար 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>ներդ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նել հաշվարկային և փաստացի շեղումներով պայմանավորված</w:t>
      </w:r>
      <w:r w:rsidR="00F1438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փոխհատուցման մեխանիզմներ</w:t>
      </w:r>
      <w:r w:rsidR="00F26CBD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։ </w:t>
      </w:r>
    </w:p>
    <w:p w:rsidR="00D5656B" w:rsidRDefault="00B457FC" w:rsidP="00D5656B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sz w:val="24"/>
          <w:szCs w:val="24"/>
          <w:lang w:val="af-ZA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Pr="00CD4D7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կատարումն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ՀՀ կառավարության </w:t>
      </w:r>
      <w:r w:rsidRPr="00260A8E">
        <w:rPr>
          <w:rFonts w:ascii="GHEA Grapalat" w:hAnsi="GHEA Grapalat" w:cs="Sylfaen"/>
          <w:spacing w:val="-4"/>
          <w:sz w:val="24"/>
          <w:szCs w:val="24"/>
          <w:lang w:val="af-ZA"/>
        </w:rPr>
        <w:t>14.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t>01.2021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թ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t>.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№48-Լ որոշմամբ հավանության արժանացած </w:t>
      </w:r>
      <w:r w:rsidRPr="00EF5E3E">
        <w:rPr>
          <w:rFonts w:ascii="GHEA Grapalat" w:hAnsi="GHEA Grapalat" w:cs="Sylfaen"/>
          <w:spacing w:val="-4"/>
          <w:sz w:val="24"/>
          <w:szCs w:val="24"/>
          <w:lang w:val="hy-AM"/>
        </w:rPr>
        <w:t>էներգետիկայի բնագավառի զարգացման ռազմավարական ծրագրի (մինչև 2040 թվականը) իրագործումն ապահովող ծրագիր-ժամանակացույցի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91580E">
        <w:rPr>
          <w:rFonts w:ascii="GHEA Grapalat" w:hAnsi="GHEA Grapalat" w:cs="Sylfaen"/>
          <w:spacing w:val="-4"/>
          <w:sz w:val="24"/>
          <w:szCs w:val="24"/>
          <w:lang w:val="af-ZA"/>
        </w:rPr>
        <w:t>4.</w:t>
      </w:r>
      <w:r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3.3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կետի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, ինչպես նաև ն</w:t>
      </w:r>
      <w:r w:rsidR="005153A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պատակ ունենալով </w:t>
      </w:r>
      <w:r w:rsidR="00467029">
        <w:rPr>
          <w:rFonts w:ascii="GHEA Grapalat" w:hAnsi="GHEA Grapalat"/>
          <w:sz w:val="24"/>
          <w:szCs w:val="24"/>
          <w:lang w:val="hy-AM"/>
        </w:rPr>
        <w:t xml:space="preserve">հանձնաժողովի որոշումներով հաստատված </w:t>
      </w:r>
      <w:r w:rsidR="00467029">
        <w:rPr>
          <w:rFonts w:ascii="GHEA Grapalat" w:hAnsi="GHEA Grapalat"/>
          <w:sz w:val="24"/>
          <w:szCs w:val="24"/>
          <w:lang w:val="hy-AM"/>
        </w:rPr>
        <w:t xml:space="preserve">սակագների հաշվարկման </w:t>
      </w:r>
      <w:r w:rsidR="00467029">
        <w:rPr>
          <w:rFonts w:ascii="GHEA Grapalat" w:hAnsi="GHEA Grapalat"/>
          <w:sz w:val="24"/>
          <w:szCs w:val="24"/>
          <w:lang w:val="hy-AM"/>
        </w:rPr>
        <w:t xml:space="preserve">մեթոդիկաները </w:t>
      </w:r>
      <w:r w:rsidR="00467029">
        <w:rPr>
          <w:rFonts w:ascii="GHEA Grapalat" w:hAnsi="GHEA Grapalat"/>
          <w:sz w:val="24"/>
          <w:szCs w:val="24"/>
          <w:lang w:val="hy-AM"/>
        </w:rPr>
        <w:t xml:space="preserve">և սակագների սահմանման (վերանայման) կարգը </w:t>
      </w:r>
      <w:r w:rsidR="00467029">
        <w:rPr>
          <w:rFonts w:ascii="GHEA Grapalat" w:hAnsi="GHEA Grapalat"/>
          <w:sz w:val="24"/>
          <w:szCs w:val="24"/>
          <w:lang w:val="hy-AM"/>
        </w:rPr>
        <w:t>համապատասխանեցնել նոր շուկայի պահանջներին</w:t>
      </w:r>
      <w:r>
        <w:rPr>
          <w:rFonts w:ascii="GHEA Grapalat" w:hAnsi="GHEA Grapalat"/>
          <w:sz w:val="24"/>
          <w:szCs w:val="24"/>
          <w:lang w:val="hy-AM"/>
        </w:rPr>
        <w:t xml:space="preserve"> և ո</w:t>
      </w:r>
      <w:r w:rsidR="005153A4">
        <w:rPr>
          <w:rFonts w:ascii="GHEA Grapalat" w:hAnsi="GHEA Grapalat" w:cs="Sylfaen"/>
          <w:spacing w:val="-4"/>
          <w:sz w:val="24"/>
          <w:szCs w:val="24"/>
          <w:lang w:val="hy-AM"/>
        </w:rPr>
        <w:t>լորտի ընկերությունների համար սակագնային կարգավորումները մեկտեղել մեկ միասնական փաստաթղթում, ՀՀ հանրային ծառայությունները կարգավորող հանձնաժողովը</w:t>
      </w:r>
      <w:r w:rsidR="00D5656B" w:rsidRPr="00CD4D75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ԱՄՆ ՄԶԳ աջակցությամբ </w:t>
      </w:r>
      <w:r w:rsidR="00D5656B" w:rsidRPr="00CD4D7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մշակել է </w:t>
      </w:r>
      <w:r w:rsidR="00D5656B" w:rsidRPr="008A1C94">
        <w:rPr>
          <w:rFonts w:ascii="GHEA Grapalat" w:hAnsi="GHEA Grapalat" w:cs="Sylfaen"/>
          <w:spacing w:val="-4"/>
          <w:sz w:val="24"/>
          <w:szCs w:val="24"/>
          <w:lang w:val="hy-AM"/>
        </w:rPr>
        <w:t>էլեկտրաէներգետիկական համակարգում սակագների հաշվարկման, սահմանման ու վերանայման մեթոդիկան</w:t>
      </w:r>
      <w:r w:rsidR="005153A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D5656B" w:rsidRPr="008A1C94">
        <w:rPr>
          <w:rFonts w:ascii="GHEA Grapalat" w:hAnsi="GHEA Grapalat" w:cs="Sylfaen"/>
          <w:spacing w:val="-4"/>
          <w:sz w:val="24"/>
          <w:szCs w:val="24"/>
          <w:lang w:val="hy-AM"/>
        </w:rPr>
        <w:t>(կարգը)</w:t>
      </w:r>
      <w:r w:rsidR="00D5656B">
        <w:rPr>
          <w:rFonts w:ascii="GHEA Grapalat" w:hAnsi="GHEA Grapalat" w:cs="Sylfaen"/>
          <w:spacing w:val="-4"/>
          <w:sz w:val="24"/>
          <w:szCs w:val="24"/>
          <w:lang w:val="hy-AM"/>
        </w:rPr>
        <w:t>, դրա հետ կապված հանձնաժողովի որոշ որոշումներում փոփոխություններ կատարելու և որոշ որոշումներ ուժը կորցրած ճանաչելու մասին</w:t>
      </w:r>
      <w:r w:rsidR="00D5656B" w:rsidRPr="00CD4D7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որոշ</w:t>
      </w:r>
      <w:r w:rsidR="00D5656B" w:rsidRPr="00CD4D75">
        <w:rPr>
          <w:rFonts w:ascii="GHEA Grapalat" w:hAnsi="GHEA Grapalat" w:cs="Sylfaen"/>
          <w:spacing w:val="-4"/>
          <w:sz w:val="24"/>
          <w:szCs w:val="24"/>
          <w:lang w:val="hy-AM"/>
        </w:rPr>
        <w:t>ումների</w:t>
      </w:r>
      <w:r w:rsidR="00D5656B" w:rsidRPr="00CD4D75">
        <w:rPr>
          <w:rFonts w:ascii="GHEA Grapalat" w:hAnsi="GHEA Grapalat" w:cs="Sylfaen"/>
          <w:spacing w:val="-4"/>
          <w:sz w:val="24"/>
          <w:szCs w:val="24"/>
          <w:lang w:val="af-ZA"/>
        </w:rPr>
        <w:t xml:space="preserve"> նախագ</w:t>
      </w:r>
      <w:r w:rsidR="00D5656B">
        <w:rPr>
          <w:rFonts w:ascii="GHEA Grapalat" w:hAnsi="GHEA Grapalat" w:cs="Sylfaen"/>
          <w:spacing w:val="-4"/>
          <w:sz w:val="24"/>
          <w:szCs w:val="24"/>
          <w:lang w:val="af-ZA"/>
        </w:rPr>
        <w:t>ծերը:</w:t>
      </w:r>
    </w:p>
    <w:p w:rsidR="00B457FC" w:rsidRDefault="00B457FC" w:rsidP="00B457FC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B457FC" w:rsidRDefault="00B457FC" w:rsidP="00B457FC">
      <w:pPr>
        <w:pStyle w:val="BodyText3"/>
        <w:spacing w:after="0" w:line="360" w:lineRule="auto"/>
        <w:ind w:left="360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2. Կարգավորման նպատակը և բնույթը </w:t>
      </w:r>
    </w:p>
    <w:p w:rsidR="00B457FC" w:rsidRPr="00B457FC" w:rsidRDefault="00B457FC" w:rsidP="00D5656B">
      <w:pPr>
        <w:spacing w:line="360" w:lineRule="auto"/>
        <w:ind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D5656B" w:rsidRDefault="00B457FC" w:rsidP="00D5656B">
      <w:pPr>
        <w:spacing w:line="360" w:lineRule="auto"/>
        <w:ind w:firstLine="426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Է</w:t>
      </w:r>
      <w:r w:rsidRPr="008A1C94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լեկտրաէներգետիկական համակարգում սակագների հաշվարկման, սահմանման ու վերանայման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մեթոդիկայի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Pr="008A1C94">
        <w:rPr>
          <w:rFonts w:ascii="GHEA Grapalat" w:hAnsi="GHEA Grapalat" w:cs="Sylfaen"/>
          <w:spacing w:val="-4"/>
          <w:sz w:val="24"/>
          <w:szCs w:val="24"/>
          <w:lang w:val="hy-AM"/>
        </w:rPr>
        <w:t>(կարգ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ի</w:t>
      </w:r>
      <w:r w:rsidRPr="008A1C94">
        <w:rPr>
          <w:rFonts w:ascii="GHEA Grapalat" w:hAnsi="GHEA Grapalat" w:cs="Sylfaen"/>
          <w:spacing w:val="-4"/>
          <w:sz w:val="24"/>
          <w:szCs w:val="24"/>
          <w:lang w:val="hy-AM"/>
        </w:rPr>
        <w:t>)</w:t>
      </w:r>
      <w:r w:rsidR="00D5656B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նախագիծը մեկ փաստաթղթում</w:t>
      </w:r>
      <w:bookmarkStart w:id="0" w:name="_GoBack"/>
      <w:bookmarkEnd w:id="0"/>
      <w:r w:rsidR="00D5656B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ամփոփում է սակագնային կարգավորման ենթակա էլեկտրական էներգիա (հզորություն) արտադրողների, էլեկտրաէներգետիկական շուկային ծառայություններ մատուցողների և երաշխավորված մատակարարի սակագների </w:t>
      </w:r>
      <w:r w:rsidR="00D5656B" w:rsidRPr="0005742D">
        <w:rPr>
          <w:rFonts w:ascii="GHEA Grapalat" w:hAnsi="GHEA Grapalat" w:cs="Arial"/>
          <w:sz w:val="24"/>
          <w:szCs w:val="24"/>
          <w:lang w:val="hy-AM"/>
        </w:rPr>
        <w:t>ձևավորման սկզբունքները</w:t>
      </w:r>
      <w:r w:rsidR="00D5656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D5656B" w:rsidRPr="0005742D">
        <w:rPr>
          <w:rFonts w:ascii="GHEA Grapalat" w:hAnsi="GHEA Grapalat" w:cs="Arial"/>
          <w:sz w:val="24"/>
          <w:szCs w:val="24"/>
          <w:lang w:val="hy-AM"/>
        </w:rPr>
        <w:t xml:space="preserve">և </w:t>
      </w:r>
      <w:r w:rsidR="00D5656B">
        <w:rPr>
          <w:rFonts w:ascii="GHEA Grapalat" w:hAnsi="GHEA Grapalat" w:cs="Arial"/>
          <w:sz w:val="24"/>
          <w:szCs w:val="24"/>
          <w:lang w:val="hy-AM"/>
        </w:rPr>
        <w:t>ս</w:t>
      </w:r>
      <w:r w:rsidR="00D5656B" w:rsidRPr="0005742D">
        <w:rPr>
          <w:rFonts w:ascii="GHEA Grapalat" w:hAnsi="GHEA Grapalat" w:cs="Arial"/>
          <w:sz w:val="24"/>
          <w:szCs w:val="24"/>
          <w:lang w:val="hy-AM"/>
        </w:rPr>
        <w:t>ակագների սահմանման</w:t>
      </w:r>
      <w:r w:rsidR="00D5656B">
        <w:rPr>
          <w:rFonts w:ascii="GHEA Grapalat" w:hAnsi="GHEA Grapalat" w:cs="Arial"/>
          <w:sz w:val="24"/>
          <w:szCs w:val="24"/>
          <w:lang w:val="hy-AM"/>
        </w:rPr>
        <w:t xml:space="preserve"> (</w:t>
      </w:r>
      <w:r w:rsidR="00D5656B" w:rsidRPr="0005742D">
        <w:rPr>
          <w:rFonts w:ascii="GHEA Grapalat" w:hAnsi="GHEA Grapalat" w:cs="Arial"/>
          <w:sz w:val="24"/>
          <w:szCs w:val="24"/>
          <w:lang w:val="hy-AM"/>
        </w:rPr>
        <w:t>վերանայման</w:t>
      </w:r>
      <w:r w:rsidR="00D5656B">
        <w:rPr>
          <w:rFonts w:ascii="GHEA Grapalat" w:hAnsi="GHEA Grapalat" w:cs="Arial"/>
          <w:sz w:val="24"/>
          <w:szCs w:val="24"/>
          <w:lang w:val="hy-AM"/>
        </w:rPr>
        <w:t>)</w:t>
      </w:r>
      <w:r w:rsidR="00D5656B" w:rsidRPr="0005742D">
        <w:rPr>
          <w:rFonts w:ascii="GHEA Grapalat" w:hAnsi="GHEA Grapalat" w:cs="Arial"/>
          <w:sz w:val="24"/>
          <w:szCs w:val="24"/>
          <w:lang w:val="hy-AM"/>
        </w:rPr>
        <w:t xml:space="preserve"> գործընթացը</w:t>
      </w:r>
      <w:r w:rsidR="00D5656B">
        <w:rPr>
          <w:rFonts w:ascii="GHEA Grapalat" w:hAnsi="GHEA Grapalat" w:cs="Arial"/>
          <w:sz w:val="24"/>
          <w:szCs w:val="24"/>
          <w:lang w:val="hy-AM"/>
        </w:rPr>
        <w:t>՝ հաշվի առնելով էլեկտրաէներգետիկական ազատականացված շուկայում լիցենզավորված անձանց գործունեության առանձնահատկությունները։ Մասնավորապես, սակագների հաշվարկման գործող մեթոդիկաների համեմատությամբ էական փոփոխություններից է հանդիսանում՝</w:t>
      </w:r>
    </w:p>
    <w:p w:rsidR="00D5656B" w:rsidRDefault="00D5656B" w:rsidP="00D565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11C0C">
        <w:rPr>
          <w:rFonts w:ascii="GHEA Grapalat" w:hAnsi="GHEA Grapalat" w:cs="Arial"/>
          <w:sz w:val="24"/>
          <w:szCs w:val="24"/>
          <w:lang w:val="hy-AM"/>
        </w:rPr>
        <w:t>ջերմային և ատոմային էլեկտրակայաններում վառելիքային ծախսի փոփոխությունների ճշգրտման բանաձևերի վերանայումը (հաշվեկշռման ծառայություն մատուցող արտադրողի առանձնահատկությամբ պայմանավորված այն հիմնովին վերանայվել է),</w:t>
      </w:r>
    </w:p>
    <w:p w:rsidR="00D5656B" w:rsidRDefault="00D5656B" w:rsidP="00D565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11C0C">
        <w:rPr>
          <w:rFonts w:ascii="GHEA Grapalat" w:hAnsi="GHEA Grapalat" w:cs="Arial"/>
          <w:sz w:val="24"/>
          <w:szCs w:val="24"/>
          <w:lang w:val="hy-AM"/>
        </w:rPr>
        <w:t>լիցենզավորված անձանց փաստացի գործունեությամբ պայմանավորված անհրաժեշտ հասույթի շեղման արդյունքում ձևավորված փոխհատուցման ենթակա դեֆիցտի կամ վերադարձման ենթակա լրացուցիչ հասույթի նախատեսումը սակագներում,</w:t>
      </w:r>
    </w:p>
    <w:p w:rsidR="00D5656B" w:rsidRDefault="00D5656B" w:rsidP="00D565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11C0C">
        <w:rPr>
          <w:rFonts w:ascii="GHEA Grapalat" w:hAnsi="GHEA Grapalat" w:cs="Arial"/>
          <w:sz w:val="24"/>
          <w:szCs w:val="24"/>
          <w:lang w:val="hy-AM"/>
        </w:rPr>
        <w:t>լիցենզավորված անձանց կողմից շուկայի կանոններով սահմանված դեպքերում հանձնաժողովի հաստատած սակագնից ավելի բարձր գնով էլեկտրական էներգիայի վաճառքից, լիցենզավորված գործունեության համար ներգրավված ակտիվների այլ նպատակներով օգտագործումից ստացվող լրացուցիչ</w:t>
      </w:r>
      <w:r>
        <w:rPr>
          <w:rFonts w:ascii="GHEA Grapalat" w:hAnsi="GHEA Grapalat" w:cs="Arial"/>
          <w:sz w:val="24"/>
          <w:szCs w:val="24"/>
          <w:lang w:val="hy-AM"/>
        </w:rPr>
        <w:t xml:space="preserve"> և այլ</w:t>
      </w:r>
      <w:r w:rsidRPr="00C11C0C">
        <w:rPr>
          <w:rFonts w:ascii="GHEA Grapalat" w:hAnsi="GHEA Grapalat" w:cs="Arial"/>
          <w:sz w:val="24"/>
          <w:szCs w:val="24"/>
          <w:lang w:val="hy-AM"/>
        </w:rPr>
        <w:t xml:space="preserve"> ֆինանսական եկամուտ</w:t>
      </w:r>
      <w:r>
        <w:rPr>
          <w:rFonts w:ascii="GHEA Grapalat" w:hAnsi="GHEA Grapalat" w:cs="Arial"/>
          <w:sz w:val="24"/>
          <w:szCs w:val="24"/>
          <w:lang w:val="hy-AM"/>
        </w:rPr>
        <w:t>ների նվազեցումը սակագներից,</w:t>
      </w:r>
    </w:p>
    <w:p w:rsidR="00D5656B" w:rsidRPr="00C11C0C" w:rsidRDefault="00D5656B" w:rsidP="00D565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D37529">
        <w:rPr>
          <w:rFonts w:ascii="GHEA Grapalat" w:hAnsi="GHEA Grapalat" w:cs="Arial"/>
          <w:sz w:val="24"/>
          <w:szCs w:val="24"/>
          <w:lang w:val="hy-AM"/>
        </w:rPr>
        <w:t>լիցենզավորված գործունեությանը մասնակցող կամ երբևէ մասնակցած ակտիվների օտարումից առաջացած եկամուտ</w:t>
      </w:r>
      <w:r>
        <w:rPr>
          <w:rFonts w:ascii="GHEA Grapalat" w:hAnsi="GHEA Grapalat" w:cs="Arial"/>
          <w:sz w:val="24"/>
          <w:szCs w:val="24"/>
          <w:lang w:val="hy-AM"/>
        </w:rPr>
        <w:t>ի ամբողջությամբ նվազեցումը մաշվածության և շահույթի հաշվարկման բազաներից։</w:t>
      </w:r>
    </w:p>
    <w:p w:rsidR="00D5656B" w:rsidRDefault="00D5656B" w:rsidP="00D5656B">
      <w:pPr>
        <w:pStyle w:val="BodyTextIndent"/>
        <w:spacing w:after="0" w:line="360" w:lineRule="auto"/>
        <w:ind w:left="0"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  <w:r>
        <w:rPr>
          <w:rFonts w:ascii="GHEA Grapalat" w:hAnsi="GHEA Grapalat" w:cs="Sylfaen"/>
          <w:spacing w:val="-4"/>
          <w:sz w:val="24"/>
          <w:szCs w:val="24"/>
          <w:lang w:val="hy-AM"/>
        </w:rPr>
        <w:lastRenderedPageBreak/>
        <w:t>Բացի այդ, կատարվել են մի շարք այլ փոփոխություններ ինչպես սակագների հաշվարկման մոտեցումներն ամրագրող դրույթներում, այնպես էլ սակագների սահմանման (վերանայման) ընթացակարգում։</w:t>
      </w: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Որոշումների նախագծերը մշակվել են ՀՀ հանրային ծառայությունները կարգավորող հանձնաժողովի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 w:cs="Sylfaen"/>
          <w:spacing w:val="-4"/>
          <w:sz w:val="24"/>
          <w:szCs w:val="24"/>
          <w:lang w:val="hy-AM"/>
        </w:rPr>
        <w:t>ԱՄՆ ՄԶԳ աջակցությամբ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։  </w:t>
      </w: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4. Ակնկալվող արդյունքը </w:t>
      </w:r>
    </w:p>
    <w:p w:rsidR="00B457FC" w:rsidRDefault="00B457FC" w:rsidP="00B457FC">
      <w:pPr>
        <w:pStyle w:val="BodyText3"/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Որոշումների նախագծերի ընդունման </w:t>
      </w:r>
      <w:r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էլեկտրաէներգետիկական համակարգի ընկերությունների նկատմամբ </w:t>
      </w:r>
      <w:r>
        <w:rPr>
          <w:rFonts w:ascii="GHEA Grapalat" w:hAnsi="GHEA Grapalat"/>
          <w:sz w:val="24"/>
          <w:szCs w:val="24"/>
          <w:lang w:val="hy-AM"/>
        </w:rPr>
        <w:t xml:space="preserve">կկիրառվի շուկայի նոր կանոններին համահունչ </w:t>
      </w:r>
      <w:r>
        <w:rPr>
          <w:rFonts w:ascii="GHEA Grapalat" w:hAnsi="GHEA Grapalat" w:cs="Sylfaen"/>
          <w:sz w:val="24"/>
          <w:szCs w:val="24"/>
          <w:lang w:val="hy-AM"/>
        </w:rPr>
        <w:t>սակագնային քաղաքականություն։</w:t>
      </w:r>
    </w:p>
    <w:p w:rsidR="00B457FC" w:rsidRPr="00E03991" w:rsidRDefault="00B457FC" w:rsidP="00D5656B">
      <w:pPr>
        <w:pStyle w:val="BodyTextIndent"/>
        <w:spacing w:after="0" w:line="360" w:lineRule="auto"/>
        <w:ind w:left="0" w:firstLine="426"/>
        <w:jc w:val="both"/>
        <w:rPr>
          <w:rFonts w:ascii="GHEA Grapalat" w:hAnsi="GHEA Grapalat" w:cs="Sylfaen"/>
          <w:spacing w:val="-4"/>
          <w:sz w:val="24"/>
          <w:szCs w:val="24"/>
          <w:lang w:val="hy-AM"/>
        </w:rPr>
      </w:pPr>
    </w:p>
    <w:p w:rsidR="00D5656B" w:rsidRDefault="00D5656B" w:rsidP="00D5656B">
      <w:pPr>
        <w:rPr>
          <w:rFonts w:ascii="GHEA Grapalat" w:hAnsi="GHEA Grapalat" w:cs="Sylfaen"/>
          <w:b/>
          <w:i/>
          <w:sz w:val="24"/>
          <w:lang w:val="af-ZA"/>
        </w:rPr>
      </w:pPr>
    </w:p>
    <w:p w:rsidR="00E626AB" w:rsidRPr="00D5656B" w:rsidRDefault="00E626AB">
      <w:pPr>
        <w:rPr>
          <w:lang w:val="af-ZA"/>
        </w:rPr>
      </w:pPr>
    </w:p>
    <w:sectPr w:rsidR="00E626AB" w:rsidRPr="00D565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267"/>
    <w:multiLevelType w:val="hybridMultilevel"/>
    <w:tmpl w:val="9464665C"/>
    <w:lvl w:ilvl="0" w:tplc="040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33FE4750"/>
    <w:multiLevelType w:val="hybridMultilevel"/>
    <w:tmpl w:val="8038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A0E39"/>
    <w:multiLevelType w:val="hybridMultilevel"/>
    <w:tmpl w:val="8BB8B75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3B529E"/>
    <w:multiLevelType w:val="hybridMultilevel"/>
    <w:tmpl w:val="D2C0C1A4"/>
    <w:lvl w:ilvl="0" w:tplc="EB12A440">
      <w:numFmt w:val="bullet"/>
      <w:lvlText w:val="-"/>
      <w:lvlJc w:val="left"/>
      <w:pPr>
        <w:ind w:left="786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56B"/>
    <w:rsid w:val="002548CA"/>
    <w:rsid w:val="0026782B"/>
    <w:rsid w:val="00271B17"/>
    <w:rsid w:val="00326D2C"/>
    <w:rsid w:val="0036018D"/>
    <w:rsid w:val="003664E6"/>
    <w:rsid w:val="00467029"/>
    <w:rsid w:val="00512CA7"/>
    <w:rsid w:val="005153A4"/>
    <w:rsid w:val="00552DB3"/>
    <w:rsid w:val="005F4E13"/>
    <w:rsid w:val="006D01AE"/>
    <w:rsid w:val="0075195A"/>
    <w:rsid w:val="00833463"/>
    <w:rsid w:val="00A03F74"/>
    <w:rsid w:val="00B457FC"/>
    <w:rsid w:val="00D352C2"/>
    <w:rsid w:val="00D5656B"/>
    <w:rsid w:val="00DF181B"/>
    <w:rsid w:val="00E626AB"/>
    <w:rsid w:val="00EE6C8D"/>
    <w:rsid w:val="00F14385"/>
    <w:rsid w:val="00F26CBD"/>
    <w:rsid w:val="00F5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DAFF8"/>
  <w15:chartTrackingRefBased/>
  <w15:docId w15:val="{C9257765-7BCF-4DCA-A45E-50719AC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565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5656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D5656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D565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5656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namak">
    <w:name w:val="namak Знак"/>
    <w:link w:val="namak0"/>
    <w:locked/>
    <w:rsid w:val="00326D2C"/>
    <w:rPr>
      <w:rFonts w:ascii="GHEA Grapalat" w:hAnsi="GHEA Grapalat"/>
      <w:spacing w:val="-4"/>
      <w:sz w:val="24"/>
      <w:szCs w:val="24"/>
      <w:lang w:eastAsia="ru-RU"/>
    </w:rPr>
  </w:style>
  <w:style w:type="paragraph" w:customStyle="1" w:styleId="namak0">
    <w:name w:val="namak"/>
    <w:basedOn w:val="Normal"/>
    <w:link w:val="namak"/>
    <w:rsid w:val="00326D2C"/>
    <w:pPr>
      <w:spacing w:line="400" w:lineRule="exact"/>
      <w:ind w:firstLine="397"/>
      <w:jc w:val="both"/>
    </w:pPr>
    <w:rPr>
      <w:rFonts w:ascii="GHEA Grapalat" w:eastAsiaTheme="minorHAnsi" w:hAnsi="GHEA Grapalat" w:cstheme="minorBidi"/>
      <w:spacing w:val="-4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F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F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Momjyan</dc:creator>
  <cp:keywords/>
  <dc:description/>
  <cp:lastModifiedBy>Mariam Momjyan</cp:lastModifiedBy>
  <cp:revision>2</cp:revision>
  <cp:lastPrinted>2022-10-17T11:12:00Z</cp:lastPrinted>
  <dcterms:created xsi:type="dcterms:W3CDTF">2022-10-18T08:45:00Z</dcterms:created>
  <dcterms:modified xsi:type="dcterms:W3CDTF">2022-10-18T08:45:00Z</dcterms:modified>
</cp:coreProperties>
</file>