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0B04" w:rsidRDefault="00000000">
      <w:pPr>
        <w:shd w:val="clear" w:color="auto" w:fill="FFFFFF"/>
        <w:spacing w:after="0" w:line="312" w:lineRule="auto"/>
        <w:ind w:firstLine="540"/>
        <w:jc w:val="center"/>
        <w:rPr>
          <w:rFonts w:ascii="GHEA Grapalat" w:eastAsia="GHEA Grapalat" w:hAnsi="GHEA Grapalat" w:cs="GHEA Grapalat"/>
          <w:color w:val="000000"/>
          <w:sz w:val="24"/>
          <w:szCs w:val="24"/>
          <w:highlight w:val="white"/>
        </w:rPr>
      </w:pPr>
      <w:r>
        <w:rPr>
          <w:rFonts w:ascii="GHEA Grapalat" w:eastAsia="GHEA Grapalat" w:hAnsi="GHEA Grapalat" w:cs="GHEA Grapalat"/>
          <w:b/>
          <w:sz w:val="24"/>
          <w:szCs w:val="24"/>
        </w:rPr>
        <w:t>Հիմնավորում</w:t>
      </w:r>
    </w:p>
    <w:p w14:paraId="00000002" w14:textId="77777777" w:rsidR="00150B04" w:rsidRDefault="00000000">
      <w:pPr>
        <w:shd w:val="clear" w:color="auto" w:fill="FFFFFF"/>
        <w:spacing w:after="0" w:line="24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«Տեղեկատվական տեխնոլոգիաների ոլորտում գործունեություն իրականացնող առևտրային կազմակերպություններին և անհատ ձեռնարկատերերին պետական աջակցության տրամադրման կարգը հաստատելու մասին» </w:t>
      </w:r>
      <w:r>
        <w:rPr>
          <w:rFonts w:ascii="GHEA Grapalat" w:eastAsia="GHEA Grapalat" w:hAnsi="GHEA Grapalat" w:cs="GHEA Grapalat"/>
          <w:b/>
          <w:sz w:val="24"/>
          <w:szCs w:val="24"/>
        </w:rPr>
        <w:t xml:space="preserve">Կառավարության որոշման նախագծի </w:t>
      </w:r>
    </w:p>
    <w:p w14:paraId="00000003" w14:textId="77777777" w:rsidR="00150B04" w:rsidRDefault="00150B04">
      <w:pPr>
        <w:spacing w:after="0" w:line="312" w:lineRule="auto"/>
        <w:jc w:val="both"/>
        <w:rPr>
          <w:rFonts w:ascii="GHEA Grapalat" w:eastAsia="GHEA Grapalat" w:hAnsi="GHEA Grapalat" w:cs="GHEA Grapalat"/>
          <w:sz w:val="24"/>
          <w:szCs w:val="24"/>
        </w:rPr>
      </w:pPr>
    </w:p>
    <w:p w14:paraId="00000004" w14:textId="2C76ADCB" w:rsidR="00150B04" w:rsidRDefault="00000000">
      <w:pPr>
        <w:numPr>
          <w:ilvl w:val="0"/>
          <w:numId w:val="1"/>
        </w:numPr>
        <w:tabs>
          <w:tab w:val="left" w:pos="851"/>
          <w:tab w:val="left" w:pos="1620"/>
        </w:tabs>
        <w:spacing w:after="0" w:line="312" w:lineRule="auto"/>
        <w:ind w:left="0"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Իրավական ակտի անհրաժեշտությունը (նպատակը). </w:t>
      </w:r>
      <w:r>
        <w:rPr>
          <w:rFonts w:ascii="GHEA Grapalat" w:eastAsia="GHEA Grapalat" w:hAnsi="GHEA Grapalat" w:cs="GHEA Grapalat"/>
          <w:sz w:val="24"/>
          <w:szCs w:val="24"/>
        </w:rPr>
        <w:t>Նախագծով առաջարկվող աջակցության տրամադրումը պայմանավորված է տեղեկատվական տեխնոլոգիաների (ՏՏ) ոլորտի կազմակերպությունների, արտարժույթի արժեզրկման հետևանքով առաջացած որոշակի ռիսկեր</w:t>
      </w:r>
      <w:r w:rsidR="001421C4">
        <w:rPr>
          <w:rFonts w:ascii="GHEA Grapalat" w:eastAsia="GHEA Grapalat" w:hAnsi="GHEA Grapalat" w:cs="GHEA Grapalat"/>
          <w:sz w:val="24"/>
          <w:szCs w:val="24"/>
        </w:rPr>
        <w:t>ի</w:t>
      </w:r>
      <w:r>
        <w:rPr>
          <w:rFonts w:ascii="GHEA Grapalat" w:eastAsia="GHEA Grapalat" w:hAnsi="GHEA Grapalat" w:cs="GHEA Grapalat"/>
          <w:sz w:val="24"/>
          <w:szCs w:val="24"/>
        </w:rPr>
        <w:t xml:space="preserve"> մեղմացման, ինչպես նաև Հայաստանի այլ երկրների հետ արդյունավետ մրցակցելու հնարավորության պահպանման անհրաժեշտությամբ։ Տարեսկզբից նկատվող և այժմ պահպանման միտում ունեցող արտարժույթների, հատկապես ԱՄՆ դոլարի արժեզրկումն ուղղակի բացասական ներգործություն ունի Հայաստանի ՏՏ ոլորտի նկատմամբ, քանի որ տեղական կազմակերպությունների ֆինանսական հոսքերի գերակշռող մասը ձևավորվում է արտասահմանյան գործընկերների հետ հարաբերությունների արդյունքում։ ԱՄՆ դոլարի շուրջ 20 տոկոս արժեզրկման արդյունքում համապատասխան ծավալով կրճատվել են տեղական ընկերությունների ֆինանսական մուտքերը, խոչընդոտելով կազմակերպությունների բնականոն զարգացմանն ու առաջխաղացմանը։ Աջակցության տրամադրումը խթան կհանդիսանա կազմակերպությունների զարգացման համար, հնարավորություն ընձեռելով ներգրավելու նոր բարձր որակավորում ունեցող մասնագետների՝ դառնալով ավելի մրցունակ, քանի որ ոլորտն առավելապես գիտելիքահենք, արագ զարգացող, մարդկային կապիտալի վրա հիմնված է։ </w:t>
      </w:r>
    </w:p>
    <w:p w14:paraId="00000005" w14:textId="77777777" w:rsidR="00150B04" w:rsidRDefault="00000000">
      <w:pPr>
        <w:numPr>
          <w:ilvl w:val="0"/>
          <w:numId w:val="1"/>
        </w:numPr>
        <w:tabs>
          <w:tab w:val="left" w:pos="1620"/>
        </w:tabs>
        <w:spacing w:after="0" w:line="312"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Կարգավորման հարաբերությունների ներկա վիճակը և առկա խնդիրները. </w:t>
      </w:r>
    </w:p>
    <w:p w14:paraId="00000006" w14:textId="0574480D" w:rsidR="00150B04" w:rsidRDefault="00000000">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Կարևորելով ՏՏ ոլորտի զարգացումը, տարբեր երկրներում կիրառվում են մի շարք հարկային արտոնություններ՝ ուղղված ոլորտի տնտեսավարող սուբյեկտներին։ </w:t>
      </w:r>
    </w:p>
    <w:p w14:paraId="00000007" w14:textId="50B4CB4C" w:rsidR="00150B04" w:rsidRDefault="00000000">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Ռուսաստանի Դաշնությունում 2022 թվականից սկսած 3 տարի ժամկետով սահմանված է ՏՏ ոլորտում գործունեություն իրականացնող տնտեսավարող սուբյեկտների համար շահութահարկի 0 տոկոս դրույքաչափ, իսկ ապահովագրավճարների (սոցվճարների) դրույքաչափը 30 տոկոսից նվազեցվել են մինչև 7․6 տոկոս։</w:t>
      </w:r>
    </w:p>
    <w:p w14:paraId="6B6CE411" w14:textId="143B2473" w:rsidR="00133C1A" w:rsidRPr="00133C1A" w:rsidRDefault="00133C1A" w:rsidP="00133C1A">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Լեհաստանում </w:t>
      </w:r>
      <w:r w:rsidRPr="00133C1A">
        <w:rPr>
          <w:rFonts w:ascii="GHEA Grapalat" w:eastAsia="GHEA Grapalat" w:hAnsi="GHEA Grapalat" w:cs="GHEA Grapalat"/>
          <w:sz w:val="24"/>
          <w:szCs w:val="24"/>
        </w:rPr>
        <w:t xml:space="preserve">կորպորատիվ հարկի ստանդարտ դրույքաչափը </w:t>
      </w:r>
      <w:r w:rsidR="007E1B75">
        <w:rPr>
          <w:rFonts w:ascii="GHEA Grapalat" w:eastAsia="GHEA Grapalat" w:hAnsi="GHEA Grapalat" w:cs="GHEA Grapalat"/>
          <w:sz w:val="24"/>
          <w:szCs w:val="24"/>
        </w:rPr>
        <w:t xml:space="preserve">կազմում է  </w:t>
      </w:r>
      <w:r w:rsidRPr="00133C1A">
        <w:rPr>
          <w:rFonts w:ascii="GHEA Grapalat" w:eastAsia="GHEA Grapalat" w:hAnsi="GHEA Grapalat" w:cs="GHEA Grapalat"/>
          <w:sz w:val="24"/>
          <w:szCs w:val="24"/>
        </w:rPr>
        <w:t>23</w:t>
      </w:r>
      <w:r w:rsidR="007E1B75">
        <w:rPr>
          <w:rFonts w:ascii="GHEA Grapalat" w:eastAsia="GHEA Grapalat" w:hAnsi="GHEA Grapalat" w:cs="GHEA Grapalat"/>
          <w:sz w:val="24"/>
          <w:szCs w:val="24"/>
        </w:rPr>
        <w:t xml:space="preserve"> տոկոս,</w:t>
      </w:r>
      <w:r w:rsidRPr="00133C1A">
        <w:rPr>
          <w:rFonts w:ascii="GHEA Grapalat" w:eastAsia="GHEA Grapalat" w:hAnsi="GHEA Grapalat" w:cs="GHEA Grapalat"/>
          <w:sz w:val="24"/>
          <w:szCs w:val="24"/>
        </w:rPr>
        <w:t xml:space="preserve"> </w:t>
      </w:r>
      <w:r w:rsidR="007E1B75">
        <w:rPr>
          <w:rFonts w:ascii="GHEA Grapalat" w:eastAsia="GHEA Grapalat" w:hAnsi="GHEA Grapalat" w:cs="GHEA Grapalat"/>
          <w:sz w:val="24"/>
          <w:szCs w:val="24"/>
        </w:rPr>
        <w:t>ս</w:t>
      </w:r>
      <w:r w:rsidRPr="00133C1A">
        <w:rPr>
          <w:rFonts w:ascii="GHEA Grapalat" w:eastAsia="GHEA Grapalat" w:hAnsi="GHEA Grapalat" w:cs="GHEA Grapalat"/>
          <w:sz w:val="24"/>
          <w:szCs w:val="24"/>
        </w:rPr>
        <w:t xml:space="preserve">ակայն տարեկան </w:t>
      </w:r>
      <w:r w:rsidR="007E1B75">
        <w:rPr>
          <w:rFonts w:ascii="GHEA Grapalat" w:eastAsia="GHEA Grapalat" w:hAnsi="GHEA Grapalat" w:cs="GHEA Grapalat"/>
          <w:sz w:val="24"/>
          <w:szCs w:val="24"/>
        </w:rPr>
        <w:t>1</w:t>
      </w:r>
      <w:r w:rsidR="007E1B75" w:rsidRPr="007E1B75">
        <w:rPr>
          <w:rFonts w:ascii="Cambria Math" w:eastAsia="GHEA Grapalat" w:hAnsi="Cambria Math" w:cs="Cambria Math"/>
          <w:sz w:val="24"/>
          <w:szCs w:val="24"/>
        </w:rPr>
        <w:t>․</w:t>
      </w:r>
      <w:r w:rsidR="007E1B75" w:rsidRPr="007E1B75">
        <w:rPr>
          <w:rFonts w:ascii="GHEA Grapalat" w:eastAsia="GHEA Grapalat" w:hAnsi="GHEA Grapalat" w:cs="GHEA Grapalat"/>
          <w:sz w:val="24"/>
          <w:szCs w:val="24"/>
        </w:rPr>
        <w:t>2 մլն</w:t>
      </w:r>
      <w:r w:rsidRPr="00133C1A">
        <w:rPr>
          <w:rFonts w:ascii="GHEA Grapalat" w:eastAsia="GHEA Grapalat" w:hAnsi="GHEA Grapalat" w:cs="GHEA Grapalat"/>
          <w:sz w:val="24"/>
          <w:szCs w:val="24"/>
        </w:rPr>
        <w:t xml:space="preserve"> եվրոյից պակաս եկամուտ ունեցող ընկերություններ</w:t>
      </w:r>
      <w:r w:rsidR="007E1B75">
        <w:rPr>
          <w:rFonts w:ascii="GHEA Grapalat" w:eastAsia="GHEA Grapalat" w:hAnsi="GHEA Grapalat" w:cs="GHEA Grapalat"/>
          <w:sz w:val="24"/>
          <w:szCs w:val="24"/>
        </w:rPr>
        <w:t xml:space="preserve">ի նկատմամբ կիրառվում է </w:t>
      </w:r>
      <w:r w:rsidRPr="00133C1A">
        <w:rPr>
          <w:rFonts w:ascii="GHEA Grapalat" w:eastAsia="GHEA Grapalat" w:hAnsi="GHEA Grapalat" w:cs="GHEA Grapalat"/>
          <w:sz w:val="24"/>
          <w:szCs w:val="24"/>
        </w:rPr>
        <w:t>9</w:t>
      </w:r>
      <w:r w:rsidR="007E1B75">
        <w:rPr>
          <w:rFonts w:ascii="GHEA Grapalat" w:eastAsia="GHEA Grapalat" w:hAnsi="GHEA Grapalat" w:cs="GHEA Grapalat"/>
          <w:sz w:val="24"/>
          <w:szCs w:val="24"/>
        </w:rPr>
        <w:t xml:space="preserve"> տոկոս </w:t>
      </w:r>
      <w:r w:rsidRPr="00133C1A">
        <w:rPr>
          <w:rFonts w:ascii="GHEA Grapalat" w:eastAsia="GHEA Grapalat" w:hAnsi="GHEA Grapalat" w:cs="GHEA Grapalat"/>
          <w:sz w:val="24"/>
          <w:szCs w:val="24"/>
        </w:rPr>
        <w:t>դրույքաչափ</w:t>
      </w:r>
      <w:r w:rsidR="007E1B75">
        <w:rPr>
          <w:rFonts w:ascii="GHEA Grapalat" w:eastAsia="GHEA Grapalat" w:hAnsi="GHEA Grapalat" w:cs="GHEA Grapalat"/>
          <w:sz w:val="24"/>
          <w:szCs w:val="24"/>
        </w:rPr>
        <w:t>ը, միևնույն ժամանակ ե</w:t>
      </w:r>
      <w:r w:rsidRPr="00133C1A">
        <w:rPr>
          <w:rFonts w:ascii="GHEA Grapalat" w:eastAsia="GHEA Grapalat" w:hAnsi="GHEA Grapalat" w:cs="GHEA Grapalat"/>
          <w:sz w:val="24"/>
          <w:szCs w:val="24"/>
        </w:rPr>
        <w:t xml:space="preserve">թե եկամուտը </w:t>
      </w:r>
      <w:r w:rsidR="007E1B75">
        <w:rPr>
          <w:rFonts w:ascii="GHEA Grapalat" w:eastAsia="GHEA Grapalat" w:hAnsi="GHEA Grapalat" w:cs="GHEA Grapalat"/>
          <w:sz w:val="24"/>
          <w:szCs w:val="24"/>
        </w:rPr>
        <w:t>գոյանում է</w:t>
      </w:r>
      <w:r w:rsidRPr="00133C1A">
        <w:rPr>
          <w:rFonts w:ascii="GHEA Grapalat" w:eastAsia="GHEA Grapalat" w:hAnsi="GHEA Grapalat" w:cs="GHEA Grapalat"/>
          <w:sz w:val="24"/>
          <w:szCs w:val="24"/>
        </w:rPr>
        <w:t xml:space="preserve"> </w:t>
      </w:r>
      <w:r w:rsidRPr="00133C1A">
        <w:rPr>
          <w:rFonts w:ascii="GHEA Grapalat" w:eastAsia="GHEA Grapalat" w:hAnsi="GHEA Grapalat" w:cs="GHEA Grapalat"/>
          <w:sz w:val="24"/>
          <w:szCs w:val="24"/>
        </w:rPr>
        <w:lastRenderedPageBreak/>
        <w:t>մտավոր սեփականությունից (ներառյալ ծրագրային ապահովման վաճառք), ապա կիրառվում է 5</w:t>
      </w:r>
      <w:r w:rsidR="007E1B75">
        <w:rPr>
          <w:rFonts w:ascii="GHEA Grapalat" w:eastAsia="GHEA Grapalat" w:hAnsi="GHEA Grapalat" w:cs="GHEA Grapalat"/>
          <w:sz w:val="24"/>
          <w:szCs w:val="24"/>
        </w:rPr>
        <w:t xml:space="preserve"> տոկոս </w:t>
      </w:r>
      <w:r w:rsidRPr="00133C1A">
        <w:rPr>
          <w:rFonts w:ascii="GHEA Grapalat" w:eastAsia="GHEA Grapalat" w:hAnsi="GHEA Grapalat" w:cs="GHEA Grapalat"/>
          <w:sz w:val="24"/>
          <w:szCs w:val="24"/>
        </w:rPr>
        <w:t xml:space="preserve">դրույքաչափ: Եթե ընկերությունը կատարում է R&amp;D ծախսեր (ներառյալ նոր </w:t>
      </w:r>
      <w:r w:rsidR="007E1B75" w:rsidRPr="00133C1A">
        <w:rPr>
          <w:rFonts w:ascii="GHEA Grapalat" w:eastAsia="GHEA Grapalat" w:hAnsi="GHEA Grapalat" w:cs="GHEA Grapalat"/>
          <w:sz w:val="24"/>
          <w:szCs w:val="24"/>
        </w:rPr>
        <w:t>ծրագրային ապահովման</w:t>
      </w:r>
      <w:r w:rsidR="007E1B75" w:rsidRPr="00133C1A">
        <w:rPr>
          <w:rFonts w:ascii="GHEA Grapalat" w:eastAsia="GHEA Grapalat" w:hAnsi="GHEA Grapalat" w:cs="GHEA Grapalat"/>
          <w:sz w:val="24"/>
          <w:szCs w:val="24"/>
        </w:rPr>
        <w:t xml:space="preserve"> </w:t>
      </w:r>
      <w:r w:rsidRPr="00133C1A">
        <w:rPr>
          <w:rFonts w:ascii="GHEA Grapalat" w:eastAsia="GHEA Grapalat" w:hAnsi="GHEA Grapalat" w:cs="GHEA Grapalat"/>
          <w:sz w:val="24"/>
          <w:szCs w:val="24"/>
        </w:rPr>
        <w:t xml:space="preserve">մշակում), </w:t>
      </w:r>
      <w:r w:rsidR="007E1B75">
        <w:rPr>
          <w:rFonts w:ascii="GHEA Grapalat" w:eastAsia="GHEA Grapalat" w:hAnsi="GHEA Grapalat" w:cs="GHEA Grapalat"/>
          <w:sz w:val="24"/>
          <w:szCs w:val="24"/>
        </w:rPr>
        <w:t xml:space="preserve">ապա վերջինս </w:t>
      </w:r>
      <w:r w:rsidRPr="00133C1A">
        <w:rPr>
          <w:rFonts w:ascii="GHEA Grapalat" w:eastAsia="GHEA Grapalat" w:hAnsi="GHEA Grapalat" w:cs="GHEA Grapalat"/>
          <w:sz w:val="24"/>
          <w:szCs w:val="24"/>
        </w:rPr>
        <w:t xml:space="preserve">կարող է </w:t>
      </w:r>
      <w:r w:rsidR="007E1B75">
        <w:rPr>
          <w:rFonts w:ascii="GHEA Grapalat" w:eastAsia="GHEA Grapalat" w:hAnsi="GHEA Grapalat" w:cs="GHEA Grapalat"/>
          <w:sz w:val="24"/>
          <w:szCs w:val="24"/>
        </w:rPr>
        <w:t>օգտվել մ</w:t>
      </w:r>
      <w:r w:rsidRPr="00133C1A">
        <w:rPr>
          <w:rFonts w:ascii="GHEA Grapalat" w:eastAsia="GHEA Grapalat" w:hAnsi="GHEA Grapalat" w:cs="GHEA Grapalat"/>
          <w:sz w:val="24"/>
          <w:szCs w:val="24"/>
        </w:rPr>
        <w:t xml:space="preserve">ինչև </w:t>
      </w:r>
      <w:r w:rsidR="007E1B75">
        <w:rPr>
          <w:rFonts w:ascii="GHEA Grapalat" w:eastAsia="GHEA Grapalat" w:hAnsi="GHEA Grapalat" w:cs="GHEA Grapalat"/>
          <w:sz w:val="24"/>
          <w:szCs w:val="24"/>
        </w:rPr>
        <w:t>0 տոկոս դրույքաչափ</w:t>
      </w:r>
      <w:r w:rsidR="007E1B75">
        <w:rPr>
          <w:rFonts w:ascii="GHEA Grapalat" w:eastAsia="GHEA Grapalat" w:hAnsi="GHEA Grapalat" w:cs="GHEA Grapalat"/>
          <w:sz w:val="24"/>
          <w:szCs w:val="24"/>
        </w:rPr>
        <w:t xml:space="preserve">ից, որը կտարածվի </w:t>
      </w:r>
      <w:r w:rsidR="007E1B75" w:rsidRPr="007E1B75">
        <w:rPr>
          <w:rFonts w:ascii="GHEA Grapalat" w:eastAsia="GHEA Grapalat" w:hAnsi="GHEA Grapalat" w:cs="GHEA Grapalat"/>
          <w:sz w:val="24"/>
          <w:szCs w:val="24"/>
        </w:rPr>
        <w:t>շահաբաժինների հարկ</w:t>
      </w:r>
      <w:r w:rsidR="007E1B75">
        <w:rPr>
          <w:rFonts w:ascii="GHEA Grapalat" w:eastAsia="GHEA Grapalat" w:hAnsi="GHEA Grapalat" w:cs="GHEA Grapalat"/>
          <w:sz w:val="24"/>
          <w:szCs w:val="24"/>
        </w:rPr>
        <w:t xml:space="preserve">ի, ԱԱՀ-ի և </w:t>
      </w:r>
      <w:r w:rsidR="007F3D06" w:rsidRPr="007F3D06">
        <w:rPr>
          <w:rFonts w:ascii="GHEA Grapalat" w:eastAsia="GHEA Grapalat" w:hAnsi="GHEA Grapalat" w:cs="GHEA Grapalat"/>
          <w:sz w:val="24"/>
          <w:szCs w:val="24"/>
        </w:rPr>
        <w:t>աշխատավարձի հարկ</w:t>
      </w:r>
      <w:r w:rsidR="007F3D06">
        <w:rPr>
          <w:rFonts w:ascii="GHEA Grapalat" w:eastAsia="GHEA Grapalat" w:hAnsi="GHEA Grapalat" w:cs="GHEA Grapalat"/>
          <w:sz w:val="24"/>
          <w:szCs w:val="24"/>
        </w:rPr>
        <w:t>ի նկատմամբ</w:t>
      </w:r>
      <w:r w:rsidRPr="00133C1A">
        <w:rPr>
          <w:rFonts w:ascii="GHEA Grapalat" w:eastAsia="GHEA Grapalat" w:hAnsi="GHEA Grapalat" w:cs="GHEA Grapalat"/>
          <w:sz w:val="24"/>
          <w:szCs w:val="24"/>
        </w:rPr>
        <w:t>:</w:t>
      </w:r>
    </w:p>
    <w:p w14:paraId="42E8110E" w14:textId="4B765031" w:rsidR="00133C1A" w:rsidRDefault="00133C1A" w:rsidP="00133C1A">
      <w:pPr>
        <w:tabs>
          <w:tab w:val="left" w:pos="1620"/>
        </w:tabs>
        <w:spacing w:after="0" w:line="312" w:lineRule="auto"/>
        <w:ind w:firstLine="567"/>
        <w:jc w:val="both"/>
        <w:rPr>
          <w:rFonts w:ascii="GHEA Grapalat" w:eastAsia="GHEA Grapalat" w:hAnsi="GHEA Grapalat" w:cs="GHEA Grapalat"/>
          <w:sz w:val="24"/>
          <w:szCs w:val="24"/>
        </w:rPr>
      </w:pPr>
      <w:r w:rsidRPr="00133C1A">
        <w:rPr>
          <w:rFonts w:ascii="GHEA Grapalat" w:eastAsia="GHEA Grapalat" w:hAnsi="GHEA Grapalat" w:cs="GHEA Grapalat"/>
          <w:sz w:val="24"/>
          <w:szCs w:val="24"/>
        </w:rPr>
        <w:t>2021 թվականի բյուջեն երկարաձգել է արտոնությունը մինչև 2022 թվականի մարտի 31-ը: Նման ստարտափները կարող են ստանալ 100% հարկային զեղչ (արտոնություն) շահույթի վրա երեք տարի ժամկետով , այն պայմանով, որ տարեկան շրջանառությունը չի կարող գերազանցում 25 միլիոն ռուբլին ցանկացած ֆինանսական տարում։</w:t>
      </w:r>
    </w:p>
    <w:p w14:paraId="00000008" w14:textId="77777777" w:rsidR="00150B04" w:rsidRDefault="00000000">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Միաժամանակ, Կառավարությունը ՏՏ ոլորտի զարգացման կարևորությունը դիտարկում է ոչ միայն որպես առանձին ոլորտ, այլ նաև որպես ՀՀ տնտեսության ընդհանուր առաջընթացի, արտադրողականության բարձրացման և համաշխարհային տնտեսության մեջ մրցունակությունն ապահովելու կարևոր գործոն: ՀՀ ՏՏ ոլորտի արդյունավետության շարունակական աճի ապահովման հետ կապված բացահայտվել են խնդիրներ, մասնավորապես, ոլորտում ներդրումների խթանման հետ կապված։</w:t>
      </w:r>
    </w:p>
    <w:p w14:paraId="00000009" w14:textId="77777777" w:rsidR="00150B04" w:rsidRDefault="00000000">
      <w:pPr>
        <w:numPr>
          <w:ilvl w:val="0"/>
          <w:numId w:val="1"/>
        </w:numPr>
        <w:tabs>
          <w:tab w:val="left" w:pos="1131"/>
        </w:tabs>
        <w:spacing w:after="0" w:line="312"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Առկա խնդիրների առաջարկվող լուծումները. </w:t>
      </w:r>
    </w:p>
    <w:p w14:paraId="0000000A" w14:textId="77777777" w:rsidR="00150B04" w:rsidRDefault="00000000">
      <w:pPr>
        <w:tabs>
          <w:tab w:val="left" w:pos="1620"/>
        </w:tabs>
        <w:spacing w:after="0" w:line="312"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Նախագծով առաջարկվում է ՏՏ ոլորտում գործունեություն իրականացնող առևտրային կազմակերպություններին և անհատ ձեռնարկատերերին տրամադրել ժամկետային պետական աջակցություն։</w:t>
      </w:r>
    </w:p>
    <w:p w14:paraId="0000000B" w14:textId="77777777" w:rsidR="00150B04" w:rsidRDefault="00000000">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4</w:t>
      </w:r>
      <w:r>
        <w:rPr>
          <w:rFonts w:ascii="Cambria Math" w:eastAsia="Cambria Math" w:hAnsi="Cambria Math" w:cs="Cambria Math"/>
          <w:b/>
          <w:sz w:val="24"/>
          <w:szCs w:val="24"/>
        </w:rPr>
        <w:t xml:space="preserve">․ </w:t>
      </w:r>
      <w:r>
        <w:rPr>
          <w:rFonts w:ascii="GHEA Grapalat" w:eastAsia="GHEA Grapalat" w:hAnsi="GHEA Grapalat" w:cs="GHEA Grapalat"/>
          <w:b/>
          <w:sz w:val="24"/>
          <w:szCs w:val="24"/>
        </w:rPr>
        <w:t xml:space="preserve">Կարգավորման առարկան. </w:t>
      </w:r>
      <w:r>
        <w:rPr>
          <w:rFonts w:ascii="GHEA Grapalat" w:eastAsia="GHEA Grapalat" w:hAnsi="GHEA Grapalat" w:cs="GHEA Grapalat"/>
          <w:sz w:val="24"/>
          <w:szCs w:val="24"/>
        </w:rPr>
        <w:t>Հայաստանի Հանրապետությունում ՏՏ ոլորտի զարգացումը։</w:t>
      </w:r>
    </w:p>
    <w:p w14:paraId="0000000C" w14:textId="77777777" w:rsidR="00150B04" w:rsidRDefault="00000000">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5</w:t>
      </w:r>
      <w:r>
        <w:rPr>
          <w:rFonts w:ascii="Cambria Math" w:eastAsia="Cambria Math" w:hAnsi="Cambria Math" w:cs="Cambria Math"/>
          <w:b/>
          <w:sz w:val="24"/>
          <w:szCs w:val="24"/>
        </w:rPr>
        <w:t xml:space="preserve">․ </w:t>
      </w:r>
      <w:r>
        <w:rPr>
          <w:rFonts w:ascii="GHEA Grapalat" w:eastAsia="GHEA Grapalat" w:hAnsi="GHEA Grapalat" w:cs="GHEA Grapalat"/>
          <w:b/>
          <w:sz w:val="24"/>
          <w:szCs w:val="24"/>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000000D" w14:textId="77777777" w:rsidR="00150B04" w:rsidRDefault="00000000">
      <w:pPr>
        <w:tabs>
          <w:tab w:val="left" w:pos="1620"/>
        </w:tabs>
        <w:spacing w:after="0" w:line="312"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Նախագծի ընդունումը բխում է Հայաստանի վերափոխման ռազմավարություն 2050-ից և Կառավարության 2021-2026թթ. ծրագրից։</w:t>
      </w:r>
    </w:p>
    <w:p w14:paraId="0000000E" w14:textId="77777777" w:rsidR="00150B04" w:rsidRDefault="00000000">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6</w:t>
      </w:r>
      <w:r>
        <w:rPr>
          <w:rFonts w:ascii="Cambria Math" w:eastAsia="Cambria Math" w:hAnsi="Cambria Math" w:cs="Cambria Math"/>
          <w:b/>
          <w:sz w:val="24"/>
          <w:szCs w:val="24"/>
        </w:rPr>
        <w:t xml:space="preserve">․ </w:t>
      </w:r>
      <w:r>
        <w:rPr>
          <w:rFonts w:ascii="GHEA Grapalat" w:eastAsia="GHEA Grapalat" w:hAnsi="GHEA Grapalat" w:cs="GHEA Grapalat"/>
          <w:b/>
          <w:sz w:val="24"/>
          <w:szCs w:val="24"/>
        </w:rPr>
        <w:t xml:space="preserve">Նախագծի մշակման գործընթացում ներգրավված ինստիտուտները և անձինք. </w:t>
      </w:r>
      <w:r>
        <w:rPr>
          <w:rFonts w:ascii="GHEA Grapalat" w:eastAsia="GHEA Grapalat" w:hAnsi="GHEA Grapalat" w:cs="GHEA Grapalat"/>
          <w:sz w:val="24"/>
          <w:szCs w:val="24"/>
        </w:rPr>
        <w:t>Նախագիծը մշակվել է Էկոնոմիկայի նախարարության կողմից:</w:t>
      </w:r>
    </w:p>
    <w:p w14:paraId="00000013" w14:textId="37C2FE94" w:rsidR="00150B04" w:rsidRPr="00223570" w:rsidRDefault="00000000" w:rsidP="00223570">
      <w:pPr>
        <w:tabs>
          <w:tab w:val="left" w:pos="1620"/>
        </w:tabs>
        <w:spacing w:after="0" w:line="312"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7</w:t>
      </w:r>
      <w:r>
        <w:rPr>
          <w:rFonts w:ascii="Cambria Math" w:eastAsia="Cambria Math" w:hAnsi="Cambria Math" w:cs="Cambria Math"/>
          <w:b/>
          <w:sz w:val="24"/>
          <w:szCs w:val="24"/>
        </w:rPr>
        <w:t xml:space="preserve">․ </w:t>
      </w:r>
      <w:r>
        <w:rPr>
          <w:rFonts w:ascii="GHEA Grapalat" w:eastAsia="GHEA Grapalat" w:hAnsi="GHEA Grapalat" w:cs="GHEA Grapalat"/>
          <w:b/>
          <w:sz w:val="24"/>
          <w:szCs w:val="24"/>
        </w:rPr>
        <w:t xml:space="preserve">Իրավական ակտի ընդունման արդյունքում ակնկալվող արդյունքը. </w:t>
      </w:r>
      <w:r>
        <w:rPr>
          <w:rFonts w:ascii="GHEA Grapalat" w:eastAsia="GHEA Grapalat" w:hAnsi="GHEA Grapalat" w:cs="GHEA Grapalat"/>
          <w:sz w:val="24"/>
          <w:szCs w:val="24"/>
        </w:rPr>
        <w:t>Նախագծի ընդունման արդյունքում ակնկալվում է նպաստել Հայաստանի Հանրապետությունում ՏՏ ոլորտի զարգացմանը և կարճաժամկետ ժամանակահատվածում տարածաշրջանային երկրների համեմատ գործունեության իրականացման մրցունակ միջավայրի ձևավորմանը։</w:t>
      </w:r>
      <w:bookmarkStart w:id="0" w:name="_heading=h.gjdgxs" w:colFirst="0" w:colLast="0"/>
      <w:bookmarkEnd w:id="0"/>
    </w:p>
    <w:sectPr w:rsidR="00150B04" w:rsidRPr="00223570">
      <w:pgSz w:w="12240" w:h="15840"/>
      <w:pgMar w:top="851"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7296D"/>
    <w:multiLevelType w:val="multilevel"/>
    <w:tmpl w:val="F0EE651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448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04"/>
    <w:rsid w:val="00133C1A"/>
    <w:rsid w:val="001421C4"/>
    <w:rsid w:val="00150B04"/>
    <w:rsid w:val="00203D0E"/>
    <w:rsid w:val="00223570"/>
    <w:rsid w:val="007E1B75"/>
    <w:rsid w:val="007F3D06"/>
    <w:rsid w:val="00BF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9178"/>
  <w15:docId w15:val="{899F05C9-F1D9-430A-87FC-8D60C9E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A46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C0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03"/>
  </w:style>
  <w:style w:type="paragraph" w:styleId="ListParagraph">
    <w:name w:val="List Paragraph"/>
    <w:basedOn w:val="Normal"/>
    <w:uiPriority w:val="34"/>
    <w:qFormat/>
    <w:rsid w:val="00CC0B03"/>
    <w:pPr>
      <w:spacing w:after="200" w:line="276" w:lineRule="auto"/>
      <w:ind w:left="720"/>
      <w:contextualSpacing/>
    </w:pPr>
    <w:rPr>
      <w:rFonts w:eastAsiaTheme="minorEastAsia"/>
      <w:lang w:val="ru-RU" w:eastAsia="ru-RU"/>
    </w:rPr>
  </w:style>
  <w:style w:type="paragraph" w:styleId="Footer">
    <w:name w:val="footer"/>
    <w:basedOn w:val="Normal"/>
    <w:link w:val="FooterChar"/>
    <w:uiPriority w:val="99"/>
    <w:unhideWhenUsed/>
    <w:rsid w:val="00E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575"/>
  </w:style>
  <w:style w:type="character" w:customStyle="1" w:styleId="Heading2Char">
    <w:name w:val="Heading 2 Char"/>
    <w:basedOn w:val="DefaultParagraphFont"/>
    <w:link w:val="Heading2"/>
    <w:uiPriority w:val="9"/>
    <w:rsid w:val="000A4674"/>
    <w:rPr>
      <w:rFonts w:ascii="Times New Roman" w:eastAsia="Times New Roman" w:hAnsi="Times New Roman" w:cs="Times New Roman"/>
      <w:b/>
      <w:bCs/>
      <w:sz w:val="36"/>
      <w:szCs w:val="36"/>
    </w:rPr>
  </w:style>
  <w:style w:type="table" w:styleId="TableGrid">
    <w:name w:val="Table Grid"/>
    <w:basedOn w:val="TableNormal"/>
    <w:uiPriority w:val="39"/>
    <w:rsid w:val="00AB3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3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A6E"/>
    <w:rPr>
      <w:rFonts w:ascii="Segoe UI" w:hAnsi="Segoe UI" w:cs="Segoe UI"/>
      <w:sz w:val="18"/>
      <w:szCs w:val="18"/>
    </w:rPr>
  </w:style>
  <w:style w:type="character" w:styleId="CommentReference">
    <w:name w:val="annotation reference"/>
    <w:basedOn w:val="DefaultParagraphFont"/>
    <w:uiPriority w:val="99"/>
    <w:semiHidden/>
    <w:unhideWhenUsed/>
    <w:rsid w:val="00764074"/>
    <w:rPr>
      <w:sz w:val="16"/>
      <w:szCs w:val="16"/>
    </w:rPr>
  </w:style>
  <w:style w:type="paragraph" w:styleId="CommentText">
    <w:name w:val="annotation text"/>
    <w:basedOn w:val="Normal"/>
    <w:link w:val="CommentTextChar"/>
    <w:uiPriority w:val="99"/>
    <w:semiHidden/>
    <w:unhideWhenUsed/>
    <w:rsid w:val="00764074"/>
    <w:pPr>
      <w:spacing w:line="240" w:lineRule="auto"/>
    </w:pPr>
    <w:rPr>
      <w:sz w:val="20"/>
      <w:szCs w:val="20"/>
    </w:rPr>
  </w:style>
  <w:style w:type="character" w:customStyle="1" w:styleId="CommentTextChar">
    <w:name w:val="Comment Text Char"/>
    <w:basedOn w:val="DefaultParagraphFont"/>
    <w:link w:val="CommentText"/>
    <w:uiPriority w:val="99"/>
    <w:semiHidden/>
    <w:rsid w:val="00764074"/>
    <w:rPr>
      <w:sz w:val="20"/>
      <w:szCs w:val="20"/>
    </w:rPr>
  </w:style>
  <w:style w:type="paragraph" w:styleId="CommentSubject">
    <w:name w:val="annotation subject"/>
    <w:basedOn w:val="CommentText"/>
    <w:next w:val="CommentText"/>
    <w:link w:val="CommentSubjectChar"/>
    <w:uiPriority w:val="99"/>
    <w:semiHidden/>
    <w:unhideWhenUsed/>
    <w:rsid w:val="00764074"/>
    <w:rPr>
      <w:b/>
      <w:bCs/>
    </w:rPr>
  </w:style>
  <w:style w:type="character" w:customStyle="1" w:styleId="CommentSubjectChar">
    <w:name w:val="Comment Subject Char"/>
    <w:basedOn w:val="CommentTextChar"/>
    <w:link w:val="CommentSubject"/>
    <w:uiPriority w:val="99"/>
    <w:semiHidden/>
    <w:rsid w:val="00764074"/>
    <w:rPr>
      <w:b/>
      <w:bCs/>
      <w:sz w:val="20"/>
      <w:szCs w:val="20"/>
    </w:rPr>
  </w:style>
  <w:style w:type="paragraph" w:styleId="NormalWeb">
    <w:name w:val="Normal (Web)"/>
    <w:basedOn w:val="Normal"/>
    <w:uiPriority w:val="99"/>
    <w:unhideWhenUsed/>
    <w:rsid w:val="00172E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2E7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iTn7pHjD7/yZM9w9j1Dyo3xSjw==">AMUW2mVFzMO8xocD8evCmkQD5wBPiLuvXLKtHBGJiaAay6rwDUjDDYH9+QcChzYttht+AvRMdbCkEwczM28fQkCFuPSIuNQesw0+B0gO0riFU1HZpvIUZQ4x1b85zPXJfVJWX6m9jpG4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3402</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2022-09-05T05:44:00Z</dcterms:created>
  <dcterms:modified xsi:type="dcterms:W3CDTF">2022-09-05T10:20:00Z</dcterms:modified>
</cp:coreProperties>
</file>