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="0083141B" w:rsidRP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անրային էլեկտրոնային հաղորդակցության շարժական կապի լայնաշերտ  տեխնոլոգիայի ծածկույթի որակի չափանիշներ</w:t>
      </w:r>
      <w:r w:rsidR="0083141B" w:rsidRP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</w:t>
      </w:r>
      <w:r w:rsid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սահմանելու </w:t>
      </w:r>
      <w:r w:rsidR="00FE04FD" w:rsidRP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մասին</w:t>
      </w: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83141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</w:t>
      </w:r>
      <w:r w:rsidR="0059001C"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 հանրային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:rsidR="0083141B" w:rsidRDefault="0083141B" w:rsidP="00FE04FD">
      <w:pPr>
        <w:pStyle w:val="namak"/>
        <w:spacing w:line="336" w:lineRule="auto"/>
        <w:rPr>
          <w:lang w:val="ru-RU"/>
        </w:rPr>
      </w:pPr>
      <w:r>
        <w:rPr>
          <w:lang w:val="hy-AM"/>
        </w:rPr>
        <w:t xml:space="preserve">ՀՀ հանրային ծառայությունները կարգավորող հանձնաժողովը՝ </w:t>
      </w:r>
      <w:r>
        <w:rPr>
          <w:lang w:val="hy-AM"/>
        </w:rPr>
        <w:t xml:space="preserve">ելնելով </w:t>
      </w:r>
      <w:r w:rsidRPr="00935E8D">
        <w:rPr>
          <w:lang w:val="hy-AM"/>
        </w:rPr>
        <w:t>հանրային էլեկտրոնային հաղորդակցության ցանցերի օպերատորների և ծառայություններ մատուցողների համար գործունեության որակի որոշակի չափանիշներ</w:t>
      </w:r>
      <w:r>
        <w:rPr>
          <w:lang w:val="hy-AM"/>
        </w:rPr>
        <w:t xml:space="preserve"> սահմանելու նկատառումներից</w:t>
      </w:r>
      <w:r>
        <w:rPr>
          <w:lang w:val="hy-AM"/>
        </w:rPr>
        <w:t>,</w:t>
      </w:r>
      <w:r>
        <w:rPr>
          <w:lang w:val="hy-AM"/>
        </w:rPr>
        <w:t xml:space="preserve"> նախաձեռն</w:t>
      </w:r>
      <w:r>
        <w:rPr>
          <w:lang w:val="hy-AM"/>
        </w:rPr>
        <w:t>ել էր հ</w:t>
      </w:r>
      <w:r w:rsidRPr="0083141B">
        <w:rPr>
          <w:lang w:val="hy-AM"/>
        </w:rPr>
        <w:t>անրային էլեկտրոնային հաղորդակցության շարժական կապի լայնաշերտ  տեխնոլոգիայի ծածկույթի որակի չափանիշներ սահմանելու</w:t>
      </w:r>
      <w:r>
        <w:rPr>
          <w:lang w:val="hy-AM"/>
        </w:rPr>
        <w:t xml:space="preserve"> </w:t>
      </w:r>
      <w:r>
        <w:rPr>
          <w:lang w:val="hy-AM"/>
        </w:rPr>
        <w:t>քննարկումներ՝ հանրային շարժական կապի օպերատորների հետ</w:t>
      </w:r>
      <w:r w:rsidR="00FE04FD">
        <w:rPr>
          <w:lang w:val="hy-AM"/>
        </w:rPr>
        <w:t>։</w:t>
      </w:r>
      <w:r>
        <w:rPr>
          <w:lang w:val="hy-AM"/>
        </w:rPr>
        <w:t xml:space="preserve"> Քննարկումների արդյունքում, հաշվի առնելով Եվրոպական երկրներում </w:t>
      </w:r>
      <w:r w:rsidRPr="0083141B">
        <w:rPr>
          <w:lang w:val="hy-AM"/>
        </w:rPr>
        <w:t>(</w:t>
      </w:r>
      <w:r>
        <w:rPr>
          <w:lang w:val="hy-AM"/>
        </w:rPr>
        <w:t>օրինակ՝ Պորտուգալիա, Չեխիա, Լիտվա, Մոլդովա</w:t>
      </w:r>
      <w:r w:rsidRPr="0083141B">
        <w:rPr>
          <w:lang w:val="hy-AM"/>
        </w:rPr>
        <w:t>)</w:t>
      </w:r>
      <w:r>
        <w:rPr>
          <w:lang w:val="hy-AM"/>
        </w:rPr>
        <w:t xml:space="preserve"> կիրառելի փորձը մշակվել է </w:t>
      </w:r>
      <w:r w:rsidRPr="0083141B">
        <w:rPr>
          <w:lang w:val="hy-AM"/>
        </w:rPr>
        <w:t>«Հանրային էլեկտրոնային հաղորդակցության շարժական կապի լայնաշերտ  տեխնոլոգիայի ծածկույթի որակի չափանիշներ սահմանելու մասին»</w:t>
      </w:r>
      <w:r>
        <w:rPr>
          <w:lang w:val="hy-AM"/>
        </w:rPr>
        <w:t xml:space="preserve"> հանձնաժողովի որոշման նախագիծ։</w:t>
      </w:r>
    </w:p>
    <w:p w:rsidR="00FE04FD" w:rsidRPr="00FE04FD" w:rsidRDefault="0083141B" w:rsidP="00FE04FD">
      <w:pPr>
        <w:pStyle w:val="namak"/>
        <w:spacing w:line="336" w:lineRule="auto"/>
        <w:rPr>
          <w:lang w:val="hy-AM"/>
        </w:rPr>
      </w:pPr>
      <w:r>
        <w:rPr>
          <w:lang w:val="hy-AM"/>
        </w:rPr>
        <w:t xml:space="preserve">  </w:t>
      </w: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Default="00406276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FE04FD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DD07B7" w:rsidRPr="00FE04FD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Նախագծով, առաջարկվում </w:t>
      </w:r>
      <w:r w:rsidR="00DD07B7" w:rsidRPr="007677E2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սահմանել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հանրային էլեկտրոնային հաղորդակցության շարժական կապի լայնաշերտ </w:t>
      </w:r>
      <w:r w:rsidR="004140DB" w:rsidRPr="00F30071">
        <w:rPr>
          <w:rFonts w:ascii="GHEA Grapalat" w:hAnsi="GHEA Grapalat"/>
          <w:color w:val="000000"/>
          <w:shd w:val="clear" w:color="auto" w:fill="FFFFFF"/>
          <w:lang w:val="af-ZA"/>
        </w:rPr>
        <w:t>(LTE)</w:t>
      </w:r>
      <w:r w:rsidR="004140D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տեխնոլոգիայի ծածկույթի որակի չափանիշներ</w:t>
      </w:r>
      <w:r w:rsidR="004140DB">
        <w:rPr>
          <w:rFonts w:ascii="GHEA Grapalat" w:hAnsi="GHEA Grapalat" w:cs="Sylfaen"/>
          <w:lang w:val="hy-AM"/>
        </w:rPr>
        <w:t xml:space="preserve">՝ ներառյալ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4140DB" w:rsidRPr="00D37DF9">
        <w:rPr>
          <w:rFonts w:ascii="GHEA Grapalat" w:hAnsi="GHEA Grapalat"/>
          <w:color w:val="000000"/>
          <w:shd w:val="clear" w:color="auto" w:fill="FFFFFF"/>
          <w:lang w:val="hy-AM"/>
        </w:rPr>
        <w:t>պերատորի ռադիոծածկույթի աշխատունակությունն ապահովող բազային կայանի ազդանշանի (ռադիոհաճախականություն) սահմանային</w:t>
      </w:r>
      <w:r w:rsidR="004140DB" w:rsidRPr="00164207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նվազագույն</w:t>
      </w:r>
      <w:r w:rsidR="004140DB" w:rsidRPr="00164207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պարամետրերը, </w:t>
      </w:r>
      <w:r w:rsidR="004140DB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շինությունների ներսում ազդանշանի հաջող ներթափանցման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հավանականության չափը,</w:t>
      </w:r>
      <w:r w:rsidR="004140DB" w:rsidRPr="00D37DF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պերատոր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ի կողմից հանրային շարժական կապի ծ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ածկույթի գնահատմ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 xml:space="preserve">ան </w:t>
      </w:r>
      <w:r w:rsidR="004140DB" w:rsidRPr="004140DB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>այդ թվում՝ չափումների իրականացման</w:t>
      </w:r>
      <w:r w:rsidR="004140DB" w:rsidRPr="004140DB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4140DB">
        <w:rPr>
          <w:rFonts w:ascii="GHEA Grapalat" w:hAnsi="GHEA Grapalat"/>
          <w:color w:val="000000"/>
          <w:shd w:val="clear" w:color="auto" w:fill="FFFFFF"/>
          <w:lang w:val="hy-AM"/>
        </w:rPr>
        <w:t xml:space="preserve"> սկզբունքներն ու դրանք հանձնաժողով ներկայացնելու պահանջները</w:t>
      </w:r>
      <w:r w:rsidR="006D3326" w:rsidRPr="00FE04FD">
        <w:rPr>
          <w:rFonts w:ascii="GHEA Grapalat" w:hAnsi="GHEA Grapalat" w:cs="Sylfaen"/>
          <w:lang w:val="hy-AM"/>
        </w:rPr>
        <w:t>։</w:t>
      </w:r>
    </w:p>
    <w:p w:rsidR="007677E2" w:rsidRPr="00FE04FD" w:rsidRDefault="007677E2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noProof/>
          <w:lang w:val="hy-AM"/>
        </w:rPr>
      </w:pP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՝ քննարկելով այն հանրային շարժական</w:t>
      </w:r>
      <w:r w:rsidR="0040627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կապի օպերատորների </w:t>
      </w:r>
      <w:r w:rsidR="004140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ՀՀ բարձր տեխնոլոգական արդյունաբերության նախարարության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4140DB" w:rsidRDefault="004140DB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140DB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>ի ընդուն</w:t>
      </w:r>
      <w:r w:rsidR="007677E2">
        <w:rPr>
          <w:rFonts w:ascii="GHEA Grapalat" w:hAnsi="GHEA Grapalat"/>
          <w:sz w:val="24"/>
          <w:szCs w:val="24"/>
        </w:rPr>
        <w:t>ու</w:t>
      </w:r>
      <w:r w:rsidR="00D675B4" w:rsidRPr="00406276">
        <w:rPr>
          <w:rFonts w:ascii="GHEA Grapalat" w:hAnsi="GHEA Grapalat"/>
          <w:sz w:val="24"/>
          <w:szCs w:val="24"/>
        </w:rPr>
        <w:t>մ</w:t>
      </w:r>
      <w:r w:rsidR="007677E2">
        <w:rPr>
          <w:rFonts w:ascii="GHEA Grapalat" w:hAnsi="GHEA Grapalat"/>
          <w:sz w:val="24"/>
          <w:szCs w:val="24"/>
        </w:rPr>
        <w:t xml:space="preserve">ը կնպաստի </w:t>
      </w:r>
      <w:r w:rsidR="004140DB" w:rsidRPr="004140DB">
        <w:rPr>
          <w:rFonts w:ascii="GHEA Grapalat" w:hAnsi="GHEA Grapalat"/>
          <w:sz w:val="24"/>
          <w:szCs w:val="24"/>
        </w:rPr>
        <w:t>հանրային էլեկտրոնային հաղորդակցության շարժական կապի լայնաշերտ (LTE) տեխնոլոգիայի ծածկույթի</w:t>
      </w:r>
      <w:r w:rsidR="004140DB">
        <w:rPr>
          <w:rFonts w:ascii="GHEA Grapalat" w:hAnsi="GHEA Grapalat"/>
          <w:sz w:val="24"/>
          <w:szCs w:val="24"/>
        </w:rPr>
        <w:t xml:space="preserve"> </w:t>
      </w:r>
      <w:r w:rsidR="004140DB">
        <w:rPr>
          <w:rFonts w:ascii="GHEA Grapalat" w:hAnsi="GHEA Grapalat"/>
          <w:sz w:val="24"/>
          <w:szCs w:val="24"/>
          <w:lang w:val="en-US"/>
        </w:rPr>
        <w:t>(</w:t>
      </w:r>
      <w:r w:rsidR="004140DB">
        <w:rPr>
          <w:rFonts w:ascii="GHEA Grapalat" w:hAnsi="GHEA Grapalat"/>
          <w:sz w:val="24"/>
          <w:szCs w:val="24"/>
        </w:rPr>
        <w:t>ներառյալ շինությունների ներսում</w:t>
      </w:r>
      <w:r w:rsidR="004140DB">
        <w:rPr>
          <w:rFonts w:ascii="GHEA Grapalat" w:hAnsi="GHEA Grapalat"/>
          <w:sz w:val="24"/>
          <w:szCs w:val="24"/>
          <w:lang w:val="en-US"/>
        </w:rPr>
        <w:t>)</w:t>
      </w:r>
      <w:r w:rsidR="004140DB" w:rsidRPr="004140DB">
        <w:rPr>
          <w:rFonts w:ascii="GHEA Grapalat" w:hAnsi="GHEA Grapalat"/>
          <w:sz w:val="24"/>
          <w:szCs w:val="24"/>
        </w:rPr>
        <w:t xml:space="preserve"> որակի</w:t>
      </w:r>
      <w:r w:rsidR="004140DB">
        <w:rPr>
          <w:rFonts w:ascii="GHEA Grapalat" w:hAnsi="GHEA Grapalat"/>
          <w:sz w:val="24"/>
          <w:szCs w:val="24"/>
        </w:rPr>
        <w:t xml:space="preserve"> բարելավմանը,</w:t>
      </w:r>
      <w:r w:rsidR="004140DB">
        <w:rPr>
          <w:rFonts w:ascii="GHEA Grapalat" w:hAnsi="GHEA Grapalat"/>
          <w:sz w:val="24"/>
          <w:szCs w:val="24"/>
          <w:lang w:val="en-US"/>
        </w:rPr>
        <w:t xml:space="preserve"> </w:t>
      </w:r>
      <w:r w:rsidR="004140DB">
        <w:rPr>
          <w:rFonts w:ascii="GHEA Grapalat" w:hAnsi="GHEA Grapalat"/>
          <w:sz w:val="24"/>
          <w:szCs w:val="24"/>
        </w:rPr>
        <w:t xml:space="preserve">ինչպես նաև այդ առումով պետական կարգավորման </w:t>
      </w:r>
      <w:r w:rsidR="004140DB">
        <w:rPr>
          <w:rFonts w:ascii="GHEA Grapalat" w:hAnsi="GHEA Grapalat"/>
          <w:sz w:val="24"/>
          <w:szCs w:val="24"/>
          <w:lang w:val="en-US"/>
        </w:rPr>
        <w:t>(</w:t>
      </w:r>
      <w:r w:rsidR="004140DB">
        <w:rPr>
          <w:rFonts w:ascii="GHEA Grapalat" w:hAnsi="GHEA Grapalat"/>
          <w:sz w:val="24"/>
          <w:szCs w:val="24"/>
        </w:rPr>
        <w:t>հսկողության, հանրապետությունում հանրային շարժական կապի ծածկույթի հասանելիության գնահատման</w:t>
      </w:r>
      <w:r w:rsidR="004140DB">
        <w:rPr>
          <w:rFonts w:ascii="GHEA Grapalat" w:hAnsi="GHEA Grapalat"/>
          <w:sz w:val="24"/>
          <w:szCs w:val="24"/>
          <w:lang w:val="en-US"/>
        </w:rPr>
        <w:t>)</w:t>
      </w:r>
      <w:r w:rsidR="004140DB">
        <w:rPr>
          <w:rFonts w:ascii="GHEA Grapalat" w:hAnsi="GHEA Grapalat"/>
          <w:sz w:val="24"/>
          <w:szCs w:val="24"/>
        </w:rPr>
        <w:t xml:space="preserve"> արդյունավետության բարձրացմանը</w:t>
      </w:r>
      <w:bookmarkStart w:id="0" w:name="_GoBack"/>
      <w:bookmarkEnd w:id="0"/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4140DB">
        <w:rPr>
          <w:rFonts w:ascii="GHEA Grapalat" w:hAnsi="GHEA Grapalat"/>
          <w:sz w:val="24"/>
          <w:szCs w:val="24"/>
        </w:rPr>
        <w:t xml:space="preserve">   </w:t>
      </w:r>
    </w:p>
    <w:sectPr w:rsidR="00D62528" w:rsidRPr="004140DB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140DB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7677E2"/>
    <w:rsid w:val="00821364"/>
    <w:rsid w:val="0083141B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BE5A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55</cp:revision>
  <cp:lastPrinted>2021-08-05T10:08:00Z</cp:lastPrinted>
  <dcterms:created xsi:type="dcterms:W3CDTF">2017-11-07T05:41:00Z</dcterms:created>
  <dcterms:modified xsi:type="dcterms:W3CDTF">2022-09-01T07:50:00Z</dcterms:modified>
</cp:coreProperties>
</file>