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0AE71" w14:textId="77777777" w:rsidR="00AD7DF5" w:rsidRPr="00254197" w:rsidRDefault="00AD7DF5" w:rsidP="00AE29C2">
      <w:pPr>
        <w:spacing w:line="360" w:lineRule="auto"/>
        <w:ind w:firstLine="567"/>
        <w:rPr>
          <w:rFonts w:ascii="GHEA Grapalat" w:hAnsi="GHEA Grapalat"/>
          <w:lang w:val="hy-AM"/>
        </w:rPr>
      </w:pPr>
    </w:p>
    <w:p w14:paraId="4F80F7D9" w14:textId="77777777" w:rsidR="00951AB1" w:rsidRPr="00254197" w:rsidRDefault="00951AB1" w:rsidP="00AE29C2">
      <w:pPr>
        <w:spacing w:line="360" w:lineRule="auto"/>
        <w:ind w:firstLine="567"/>
        <w:jc w:val="center"/>
        <w:rPr>
          <w:rFonts w:ascii="GHEA Grapalat" w:hAnsi="GHEA Grapalat"/>
          <w:b/>
          <w:lang w:val="hy-AM"/>
        </w:rPr>
      </w:pPr>
      <w:r w:rsidRPr="00254197">
        <w:rPr>
          <w:rFonts w:ascii="GHEA Grapalat" w:hAnsi="GHEA Grapalat"/>
          <w:b/>
          <w:lang w:val="hy-AM"/>
        </w:rPr>
        <w:t>ՀԻՄՆԱՎՈՐՈՒՄ</w:t>
      </w:r>
    </w:p>
    <w:p w14:paraId="21B10EA9" w14:textId="77777777" w:rsidR="00AD7DF5" w:rsidRPr="00254197" w:rsidRDefault="00DA30D1" w:rsidP="00D37ECA">
      <w:pPr>
        <w:pStyle w:val="mechtex"/>
        <w:spacing w:line="360" w:lineRule="auto"/>
        <w:rPr>
          <w:rFonts w:ascii="GHEA Grapalat" w:hAnsi="GHEA Grapalat"/>
          <w:b/>
          <w:sz w:val="24"/>
          <w:szCs w:val="24"/>
          <w:lang w:val="hy-AM"/>
        </w:rPr>
      </w:pPr>
      <w:r w:rsidRPr="00254197">
        <w:rPr>
          <w:rFonts w:ascii="GHEA Grapalat" w:hAnsi="GHEA Grapalat" w:cs="Sylfaen"/>
          <w:b/>
          <w:sz w:val="24"/>
          <w:szCs w:val="24"/>
          <w:lang w:val="hy-AM"/>
        </w:rPr>
        <w:t>«ՀԱՅԱՍՏԱՆԻ</w:t>
      </w:r>
      <w:r w:rsidRPr="00254197">
        <w:rPr>
          <w:rFonts w:ascii="GHEA Grapalat" w:hAnsi="GHEA Grapalat"/>
          <w:b/>
          <w:sz w:val="24"/>
          <w:szCs w:val="24"/>
          <w:lang w:val="af-ZA"/>
        </w:rPr>
        <w:t xml:space="preserve"> </w:t>
      </w:r>
      <w:r w:rsidRPr="00254197">
        <w:rPr>
          <w:rFonts w:ascii="GHEA Grapalat" w:hAnsi="GHEA Grapalat" w:cs="Sylfaen"/>
          <w:b/>
          <w:sz w:val="24"/>
          <w:szCs w:val="24"/>
          <w:lang w:val="hy-AM"/>
        </w:rPr>
        <w:t>ՀԱՆՐԱՊԵՏՈՒԹՅԱՆ</w:t>
      </w:r>
      <w:r w:rsidRPr="00254197">
        <w:rPr>
          <w:rFonts w:ascii="GHEA Grapalat" w:hAnsi="GHEA Grapalat"/>
          <w:b/>
          <w:sz w:val="24"/>
          <w:szCs w:val="24"/>
          <w:lang w:val="af-ZA"/>
        </w:rPr>
        <w:t xml:space="preserve"> </w:t>
      </w:r>
      <w:r w:rsidRPr="00254197">
        <w:rPr>
          <w:rFonts w:ascii="GHEA Grapalat" w:hAnsi="GHEA Grapalat" w:cs="Sylfaen"/>
          <w:b/>
          <w:sz w:val="24"/>
          <w:szCs w:val="24"/>
          <w:lang w:val="hy-AM"/>
        </w:rPr>
        <w:t>ԿԱՌԱՎԱՐՈՒԹՅԱՆ 2019 ԹՎԱԿԱՆԻ ՆՈՅԵՄԲԵՐԻ 1</w:t>
      </w:r>
      <w:r w:rsidR="00B804A5" w:rsidRPr="00254197">
        <w:rPr>
          <w:rFonts w:ascii="GHEA Grapalat" w:hAnsi="GHEA Grapalat" w:cs="Sylfaen"/>
          <w:b/>
          <w:sz w:val="24"/>
          <w:szCs w:val="24"/>
          <w:lang w:val="hy-AM"/>
        </w:rPr>
        <w:t>4</w:t>
      </w:r>
      <w:r w:rsidRPr="00254197">
        <w:rPr>
          <w:rFonts w:ascii="GHEA Grapalat" w:hAnsi="GHEA Grapalat" w:cs="Sylfaen"/>
          <w:b/>
          <w:sz w:val="24"/>
          <w:szCs w:val="24"/>
          <w:lang w:val="hy-AM"/>
        </w:rPr>
        <w:t xml:space="preserve">-Ի </w:t>
      </w:r>
      <w:r w:rsidRPr="00254197">
        <w:rPr>
          <w:rFonts w:ascii="GHEA Grapalat" w:hAnsi="GHEA Grapalat" w:cs="Arial"/>
          <w:b/>
          <w:color w:val="000000"/>
          <w:spacing w:val="-4"/>
          <w:sz w:val="24"/>
          <w:szCs w:val="24"/>
          <w:lang w:val="hy-AM"/>
        </w:rPr>
        <w:t>N</w:t>
      </w:r>
      <w:r w:rsidRPr="00254197">
        <w:rPr>
          <w:rFonts w:ascii="GHEA Grapalat" w:hAnsi="GHEA Grapalat"/>
          <w:b/>
          <w:color w:val="000000"/>
          <w:spacing w:val="-4"/>
          <w:sz w:val="24"/>
          <w:szCs w:val="24"/>
          <w:lang w:val="af-ZA"/>
        </w:rPr>
        <w:t xml:space="preserve"> </w:t>
      </w:r>
      <w:r w:rsidRPr="00254197">
        <w:rPr>
          <w:rFonts w:ascii="GHEA Grapalat" w:hAnsi="GHEA Grapalat"/>
          <w:b/>
          <w:color w:val="000000"/>
          <w:spacing w:val="-4"/>
          <w:sz w:val="24"/>
          <w:szCs w:val="24"/>
          <w:lang w:val="hy-AM"/>
        </w:rPr>
        <w:t>1570</w:t>
      </w:r>
      <w:r w:rsidRPr="00254197">
        <w:rPr>
          <w:rFonts w:ascii="GHEA Grapalat" w:hAnsi="GHEA Grapalat"/>
          <w:b/>
          <w:color w:val="000000"/>
          <w:spacing w:val="-4"/>
          <w:sz w:val="24"/>
          <w:szCs w:val="24"/>
          <w:lang w:val="af-ZA"/>
        </w:rPr>
        <w:t>-</w:t>
      </w:r>
      <w:r w:rsidRPr="00254197">
        <w:rPr>
          <w:rFonts w:ascii="GHEA Grapalat" w:hAnsi="GHEA Grapalat" w:cs="Sylfaen"/>
          <w:b/>
          <w:color w:val="000000"/>
          <w:spacing w:val="-4"/>
          <w:sz w:val="24"/>
          <w:szCs w:val="24"/>
          <w:lang w:val="hy-AM"/>
        </w:rPr>
        <w:t>Ն</w:t>
      </w:r>
      <w:r w:rsidRPr="00254197">
        <w:rPr>
          <w:rFonts w:ascii="GHEA Grapalat" w:hAnsi="GHEA Grapalat"/>
          <w:b/>
          <w:color w:val="000000"/>
          <w:spacing w:val="-4"/>
          <w:sz w:val="24"/>
          <w:szCs w:val="24"/>
          <w:lang w:val="af-ZA"/>
        </w:rPr>
        <w:t xml:space="preserve"> </w:t>
      </w:r>
      <w:r w:rsidRPr="00254197">
        <w:rPr>
          <w:rFonts w:ascii="GHEA Grapalat" w:hAnsi="GHEA Grapalat" w:cs="Sylfaen"/>
          <w:b/>
          <w:color w:val="000000"/>
          <w:spacing w:val="-4"/>
          <w:sz w:val="24"/>
          <w:szCs w:val="24"/>
          <w:lang w:val="hy-AM"/>
        </w:rPr>
        <w:t>ՈՐՈՇՄԱՆ</w:t>
      </w:r>
      <w:r w:rsidRPr="00254197">
        <w:rPr>
          <w:rFonts w:ascii="GHEA Grapalat" w:hAnsi="GHEA Grapalat"/>
          <w:b/>
          <w:color w:val="000000"/>
          <w:spacing w:val="-4"/>
          <w:sz w:val="24"/>
          <w:szCs w:val="24"/>
          <w:lang w:val="af-ZA"/>
        </w:rPr>
        <w:t xml:space="preserve"> </w:t>
      </w:r>
      <w:r w:rsidRPr="00254197">
        <w:rPr>
          <w:rFonts w:ascii="GHEA Grapalat" w:hAnsi="GHEA Grapalat" w:cs="Sylfaen"/>
          <w:b/>
          <w:color w:val="000000"/>
          <w:spacing w:val="-4"/>
          <w:sz w:val="24"/>
          <w:szCs w:val="24"/>
          <w:lang w:val="hy-AM"/>
        </w:rPr>
        <w:t>ՄԵՋ</w:t>
      </w:r>
      <w:r w:rsidRPr="00254197">
        <w:rPr>
          <w:rFonts w:ascii="GHEA Grapalat" w:hAnsi="GHEA Grapalat"/>
          <w:b/>
          <w:color w:val="000000"/>
          <w:spacing w:val="-4"/>
          <w:sz w:val="24"/>
          <w:szCs w:val="24"/>
          <w:lang w:val="af-ZA"/>
        </w:rPr>
        <w:t xml:space="preserve"> </w:t>
      </w:r>
      <w:r w:rsidRPr="00254197">
        <w:rPr>
          <w:rFonts w:ascii="GHEA Grapalat" w:hAnsi="GHEA Grapalat"/>
          <w:b/>
          <w:color w:val="000000"/>
          <w:spacing w:val="-4"/>
          <w:sz w:val="24"/>
          <w:szCs w:val="24"/>
          <w:lang w:val="hy-AM"/>
        </w:rPr>
        <w:t>ՓՈՓՈԽՈՒԹՅՈՒՆ</w:t>
      </w:r>
      <w:r w:rsidR="000B56F8" w:rsidRPr="00254197">
        <w:rPr>
          <w:rFonts w:ascii="GHEA Grapalat" w:hAnsi="GHEA Grapalat"/>
          <w:b/>
          <w:color w:val="000000"/>
          <w:spacing w:val="-4"/>
          <w:sz w:val="24"/>
          <w:szCs w:val="24"/>
          <w:lang w:val="hy-AM"/>
        </w:rPr>
        <w:t>ՆԵՐ</w:t>
      </w:r>
      <w:r w:rsidRPr="00254197">
        <w:rPr>
          <w:rFonts w:ascii="GHEA Grapalat" w:hAnsi="GHEA Grapalat"/>
          <w:b/>
          <w:color w:val="000000"/>
          <w:spacing w:val="-4"/>
          <w:sz w:val="24"/>
          <w:szCs w:val="24"/>
          <w:lang w:val="hy-AM"/>
        </w:rPr>
        <w:t xml:space="preserve"> ԵՎ </w:t>
      </w:r>
      <w:r w:rsidRPr="00254197">
        <w:rPr>
          <w:rFonts w:ascii="GHEA Grapalat" w:hAnsi="GHEA Grapalat" w:cs="Sylfaen"/>
          <w:b/>
          <w:color w:val="000000"/>
          <w:spacing w:val="-4"/>
          <w:sz w:val="24"/>
          <w:szCs w:val="24"/>
          <w:lang w:val="hy-AM"/>
        </w:rPr>
        <w:t>ԼՐԱՑՈՒՄ</w:t>
      </w:r>
      <w:r w:rsidR="000B56F8" w:rsidRPr="00254197">
        <w:rPr>
          <w:rFonts w:ascii="GHEA Grapalat" w:hAnsi="GHEA Grapalat" w:cs="Sylfaen"/>
          <w:b/>
          <w:color w:val="000000"/>
          <w:spacing w:val="-4"/>
          <w:sz w:val="24"/>
          <w:szCs w:val="24"/>
          <w:lang w:val="hy-AM"/>
        </w:rPr>
        <w:t>ՆԵՐ</w:t>
      </w:r>
      <w:r w:rsidRPr="00254197">
        <w:rPr>
          <w:rFonts w:ascii="GHEA Grapalat" w:hAnsi="GHEA Grapalat"/>
          <w:b/>
          <w:color w:val="000000"/>
          <w:sz w:val="24"/>
          <w:szCs w:val="24"/>
          <w:lang w:val="af-ZA"/>
        </w:rPr>
        <w:t xml:space="preserve"> </w:t>
      </w:r>
      <w:r w:rsidRPr="00254197">
        <w:rPr>
          <w:rFonts w:ascii="GHEA Grapalat" w:hAnsi="GHEA Grapalat" w:cs="Sylfaen"/>
          <w:b/>
          <w:color w:val="000000"/>
          <w:sz w:val="24"/>
          <w:szCs w:val="24"/>
          <w:lang w:val="hy-AM"/>
        </w:rPr>
        <w:t>ԿԱՏԱՐԵԼՈՒ</w:t>
      </w:r>
      <w:r w:rsidRPr="00254197">
        <w:rPr>
          <w:rFonts w:ascii="GHEA Grapalat" w:hAnsi="GHEA Grapalat"/>
          <w:b/>
          <w:color w:val="000000"/>
          <w:sz w:val="24"/>
          <w:szCs w:val="24"/>
          <w:lang w:val="af-ZA"/>
        </w:rPr>
        <w:t xml:space="preserve"> </w:t>
      </w:r>
      <w:r w:rsidRPr="00254197">
        <w:rPr>
          <w:rFonts w:ascii="GHEA Grapalat" w:hAnsi="GHEA Grapalat" w:cs="Sylfaen"/>
          <w:b/>
          <w:color w:val="000000"/>
          <w:sz w:val="24"/>
          <w:szCs w:val="24"/>
          <w:lang w:val="hy-AM"/>
        </w:rPr>
        <w:t xml:space="preserve">ՄԱՍԻՆ» </w:t>
      </w:r>
      <w:r w:rsidRPr="00254197">
        <w:rPr>
          <w:rFonts w:ascii="GHEA Grapalat" w:hAnsi="GHEA Grapalat"/>
          <w:b/>
          <w:sz w:val="24"/>
          <w:szCs w:val="24"/>
          <w:lang w:val="hy-AM"/>
        </w:rPr>
        <w:t xml:space="preserve">ՀԱՅԱՍՏԱՆԻ ՀԱՆՐԱՊԵՏՈՒԹՅԱՆ </w:t>
      </w:r>
      <w:r w:rsidR="00D47819" w:rsidRPr="00254197">
        <w:rPr>
          <w:rFonts w:ascii="GHEA Grapalat" w:hAnsi="GHEA Grapalat"/>
          <w:b/>
          <w:sz w:val="24"/>
          <w:szCs w:val="24"/>
          <w:lang w:val="hy-AM"/>
        </w:rPr>
        <w:t xml:space="preserve">ԿԱՌԱՎԱՐՈՒԹՅԱՆ  ՈՐՈՇՄԱՆ  </w:t>
      </w:r>
      <w:r w:rsidRPr="00254197">
        <w:rPr>
          <w:rFonts w:ascii="GHEA Grapalat" w:hAnsi="GHEA Grapalat"/>
          <w:b/>
          <w:sz w:val="24"/>
          <w:szCs w:val="24"/>
          <w:lang w:val="hy-AM"/>
        </w:rPr>
        <w:t>ԸՆԴՈՒՆՄԱՆ ԱՆՀՐԱԺԵՇՏՈՒԹՅԱՆ ՎԵՐԱԲԵՐՅԱԼ</w:t>
      </w:r>
    </w:p>
    <w:p w14:paraId="208C202B" w14:textId="77777777" w:rsidR="00D37ECA" w:rsidRPr="00254197" w:rsidRDefault="00D37ECA" w:rsidP="00D37ECA">
      <w:pPr>
        <w:pStyle w:val="mechtex"/>
        <w:spacing w:line="360" w:lineRule="auto"/>
        <w:rPr>
          <w:rFonts w:ascii="GHEA Grapalat" w:hAnsi="GHEA Grapalat"/>
          <w:b/>
          <w:sz w:val="24"/>
          <w:szCs w:val="24"/>
          <w:lang w:val="hy-AM"/>
        </w:rPr>
      </w:pPr>
    </w:p>
    <w:p w14:paraId="3ABAE2FE" w14:textId="65799D95" w:rsidR="00AD7DF5" w:rsidRPr="00254197" w:rsidRDefault="0097264F" w:rsidP="00EE2F92">
      <w:pPr>
        <w:numPr>
          <w:ilvl w:val="0"/>
          <w:numId w:val="3"/>
        </w:numPr>
        <w:tabs>
          <w:tab w:val="left" w:pos="993"/>
        </w:tabs>
        <w:spacing w:line="360" w:lineRule="auto"/>
        <w:ind w:left="0" w:right="-151" w:firstLine="567"/>
        <w:jc w:val="both"/>
        <w:rPr>
          <w:rFonts w:ascii="GHEA Grapalat" w:hAnsi="GHEA Grapalat"/>
          <w:b/>
          <w:lang w:val="hy-AM"/>
        </w:rPr>
      </w:pPr>
      <w:r w:rsidRPr="00254197">
        <w:rPr>
          <w:rFonts w:ascii="GHEA Grapalat" w:hAnsi="GHEA Grapalat" w:cs="Sylfaen"/>
          <w:b/>
          <w:lang w:val="hy-AM"/>
        </w:rPr>
        <w:t>Կարգավորման ենթակա խնդրի սահմանումը</w:t>
      </w:r>
      <w:r w:rsidR="001164FB" w:rsidRPr="00254197">
        <w:rPr>
          <w:rFonts w:ascii="GHEA Grapalat" w:hAnsi="GHEA Grapalat"/>
          <w:b/>
          <w:lang w:val="hy-AM"/>
        </w:rPr>
        <w:t>.</w:t>
      </w:r>
    </w:p>
    <w:p w14:paraId="2EA30E27" w14:textId="3BDD901B" w:rsidR="00567828" w:rsidRPr="00254197" w:rsidRDefault="00316C78" w:rsidP="00EE2F92">
      <w:pPr>
        <w:pStyle w:val="ListParagraph"/>
        <w:spacing w:line="360" w:lineRule="auto"/>
        <w:ind w:left="0" w:right="-151" w:firstLine="567"/>
        <w:jc w:val="both"/>
        <w:rPr>
          <w:rStyle w:val="Strong"/>
          <w:rFonts w:ascii="GHEA Grapalat" w:hAnsi="GHEA Grapalat"/>
          <w:b w:val="0"/>
          <w:sz w:val="24"/>
          <w:szCs w:val="24"/>
          <w:lang w:val="hy-AM"/>
        </w:rPr>
      </w:pPr>
      <w:r w:rsidRPr="00254197">
        <w:rPr>
          <w:rFonts w:ascii="GHEA Grapalat" w:hAnsi="GHEA Grapalat" w:cs="Arial"/>
          <w:color w:val="000000"/>
          <w:sz w:val="24"/>
          <w:szCs w:val="24"/>
          <w:lang w:val="hy-AM" w:eastAsia="en-US"/>
        </w:rPr>
        <w:t>«Տեսչական մարմինների մասին» օրենքի 4-րդ հոդվածի 1-ին մասի 6-րդ կետի համաձայն</w:t>
      </w:r>
      <w:r w:rsidR="00254197" w:rsidRPr="00254197">
        <w:rPr>
          <w:rFonts w:ascii="GHEA Grapalat" w:hAnsi="GHEA Grapalat" w:cs="Arial"/>
          <w:color w:val="000000"/>
          <w:sz w:val="24"/>
          <w:szCs w:val="24"/>
          <w:lang w:val="hy-AM" w:eastAsia="en-US"/>
        </w:rPr>
        <w:t>`</w:t>
      </w:r>
      <w:r w:rsidRPr="00254197">
        <w:rPr>
          <w:rFonts w:ascii="GHEA Grapalat" w:hAnsi="GHEA Grapalat" w:cs="Arial"/>
          <w:color w:val="000000"/>
          <w:sz w:val="24"/>
          <w:szCs w:val="24"/>
          <w:lang w:val="hy-AM" w:eastAsia="en-US"/>
        </w:rPr>
        <w:t xml:space="preserve"> </w:t>
      </w:r>
      <w:r w:rsidR="00616E02" w:rsidRPr="00254197">
        <w:rPr>
          <w:rFonts w:ascii="GHEA Grapalat" w:hAnsi="GHEA Grapalat" w:cs="Arial"/>
          <w:color w:val="000000"/>
          <w:sz w:val="24"/>
          <w:szCs w:val="24"/>
          <w:lang w:val="hy-AM" w:eastAsia="en-US"/>
        </w:rPr>
        <w:t>տ</w:t>
      </w:r>
      <w:r w:rsidRPr="00254197">
        <w:rPr>
          <w:rFonts w:ascii="GHEA Grapalat" w:hAnsi="GHEA Grapalat" w:cs="Arial"/>
          <w:color w:val="000000"/>
          <w:sz w:val="24"/>
          <w:szCs w:val="24"/>
          <w:lang w:val="hy-AM" w:eastAsia="en-US"/>
        </w:rPr>
        <w:t xml:space="preserve">եսչական մարմնի գործունեության սկզբունքներից է ըստ </w:t>
      </w:r>
      <w:proofErr w:type="spellStart"/>
      <w:r w:rsidRPr="00254197">
        <w:rPr>
          <w:rFonts w:ascii="GHEA Grapalat" w:hAnsi="GHEA Grapalat" w:cs="Arial"/>
          <w:color w:val="000000"/>
          <w:sz w:val="24"/>
          <w:szCs w:val="24"/>
          <w:lang w:val="hy-AM" w:eastAsia="en-US"/>
        </w:rPr>
        <w:t>ռիսկայնության</w:t>
      </w:r>
      <w:proofErr w:type="spellEnd"/>
      <w:r w:rsidRPr="00254197">
        <w:rPr>
          <w:rFonts w:ascii="GHEA Grapalat" w:hAnsi="GHEA Grapalat" w:cs="Arial"/>
          <w:color w:val="000000"/>
          <w:sz w:val="24"/>
          <w:szCs w:val="24"/>
          <w:lang w:val="hy-AM" w:eastAsia="en-US"/>
        </w:rPr>
        <w:t xml:space="preserve"> առաջնորդվելու սկզբունքը, համաձայն որի տեսչական մարմինը ռեսուրսները նպատակաուղղում է դեպի այն ոլորտները և տնտեսավարող սուբյեկտները, որոնք առավել ռիսկային են: </w:t>
      </w:r>
      <w:r w:rsidR="00DA30D1" w:rsidRPr="00254197">
        <w:rPr>
          <w:rFonts w:ascii="GHEA Grapalat" w:hAnsi="GHEA Grapalat" w:cs="Arial"/>
          <w:color w:val="000000"/>
          <w:sz w:val="24"/>
          <w:szCs w:val="24"/>
          <w:lang w:val="hy-AM" w:eastAsia="en-US"/>
        </w:rPr>
        <w:t>«</w:t>
      </w:r>
      <w:r w:rsidR="00DA30D1" w:rsidRPr="00254197">
        <w:rPr>
          <w:rStyle w:val="Strong"/>
          <w:rFonts w:ascii="GHEA Grapalat" w:hAnsi="GHEA Grapalat"/>
          <w:b w:val="0"/>
          <w:color w:val="000000"/>
          <w:sz w:val="24"/>
          <w:szCs w:val="24"/>
          <w:shd w:val="clear" w:color="auto" w:fill="FFFFFF"/>
          <w:lang w:val="hy-AM"/>
        </w:rPr>
        <w:t>Հայաստանի Հանրապետությունում</w:t>
      </w:r>
      <w:r w:rsidR="003567AA" w:rsidRPr="00254197">
        <w:rPr>
          <w:rStyle w:val="Strong"/>
          <w:rFonts w:ascii="GHEA Grapalat" w:hAnsi="GHEA Grapalat"/>
          <w:b w:val="0"/>
          <w:color w:val="000000"/>
          <w:sz w:val="24"/>
          <w:szCs w:val="24"/>
          <w:shd w:val="clear" w:color="auto" w:fill="FFFFFF"/>
          <w:lang w:val="hy-AM"/>
        </w:rPr>
        <w:t xml:space="preserve"> </w:t>
      </w:r>
      <w:r w:rsidR="00DA30D1" w:rsidRPr="00254197">
        <w:rPr>
          <w:rStyle w:val="Strong"/>
          <w:rFonts w:ascii="GHEA Grapalat" w:hAnsi="GHEA Grapalat" w:cs="Arial Unicode"/>
          <w:b w:val="0"/>
          <w:color w:val="000000"/>
          <w:sz w:val="24"/>
          <w:szCs w:val="24"/>
          <w:shd w:val="clear" w:color="auto" w:fill="FFFFFF"/>
          <w:lang w:val="hy-AM"/>
        </w:rPr>
        <w:t>ստուգումների</w:t>
      </w:r>
      <w:r w:rsidR="00DA30D1" w:rsidRPr="00254197">
        <w:rPr>
          <w:rStyle w:val="Strong"/>
          <w:rFonts w:ascii="GHEA Grapalat" w:hAnsi="GHEA Grapalat"/>
          <w:b w:val="0"/>
          <w:color w:val="000000"/>
          <w:sz w:val="24"/>
          <w:szCs w:val="24"/>
          <w:shd w:val="clear" w:color="auto" w:fill="FFFFFF"/>
          <w:lang w:val="hy-AM"/>
        </w:rPr>
        <w:t xml:space="preserve"> </w:t>
      </w:r>
      <w:r w:rsidR="00DA30D1" w:rsidRPr="00254197">
        <w:rPr>
          <w:rStyle w:val="Strong"/>
          <w:rFonts w:ascii="GHEA Grapalat" w:hAnsi="GHEA Grapalat" w:cs="Arial Unicode"/>
          <w:b w:val="0"/>
          <w:color w:val="000000"/>
          <w:sz w:val="24"/>
          <w:szCs w:val="24"/>
          <w:shd w:val="clear" w:color="auto" w:fill="FFFFFF"/>
          <w:lang w:val="hy-AM"/>
        </w:rPr>
        <w:t>կազմակերպման</w:t>
      </w:r>
      <w:r w:rsidR="00DA30D1" w:rsidRPr="00254197">
        <w:rPr>
          <w:rStyle w:val="Strong"/>
          <w:rFonts w:ascii="GHEA Grapalat" w:hAnsi="GHEA Grapalat"/>
          <w:b w:val="0"/>
          <w:color w:val="000000"/>
          <w:sz w:val="24"/>
          <w:szCs w:val="24"/>
          <w:shd w:val="clear" w:color="auto" w:fill="FFFFFF"/>
          <w:lang w:val="hy-AM"/>
        </w:rPr>
        <w:t xml:space="preserve"> </w:t>
      </w:r>
      <w:r w:rsidR="00DA30D1" w:rsidRPr="00254197">
        <w:rPr>
          <w:rStyle w:val="Strong"/>
          <w:rFonts w:ascii="GHEA Grapalat" w:hAnsi="GHEA Grapalat" w:cs="Arial Unicode"/>
          <w:b w:val="0"/>
          <w:color w:val="000000"/>
          <w:sz w:val="24"/>
          <w:szCs w:val="24"/>
          <w:shd w:val="clear" w:color="auto" w:fill="FFFFFF"/>
          <w:lang w:val="hy-AM"/>
        </w:rPr>
        <w:t>և</w:t>
      </w:r>
      <w:r w:rsidR="00DA30D1" w:rsidRPr="00254197">
        <w:rPr>
          <w:rStyle w:val="Strong"/>
          <w:rFonts w:ascii="GHEA Grapalat" w:hAnsi="GHEA Grapalat"/>
          <w:b w:val="0"/>
          <w:color w:val="000000"/>
          <w:sz w:val="24"/>
          <w:szCs w:val="24"/>
          <w:shd w:val="clear" w:color="auto" w:fill="FFFFFF"/>
          <w:lang w:val="hy-AM"/>
        </w:rPr>
        <w:t xml:space="preserve"> </w:t>
      </w:r>
      <w:r w:rsidR="00DA30D1" w:rsidRPr="00254197">
        <w:rPr>
          <w:rStyle w:val="Strong"/>
          <w:rFonts w:ascii="GHEA Grapalat" w:hAnsi="GHEA Grapalat" w:cs="Arial Unicode"/>
          <w:b w:val="0"/>
          <w:color w:val="000000"/>
          <w:sz w:val="24"/>
          <w:szCs w:val="24"/>
          <w:shd w:val="clear" w:color="auto" w:fill="FFFFFF"/>
          <w:lang w:val="hy-AM"/>
        </w:rPr>
        <w:t>անցկացման</w:t>
      </w:r>
      <w:r w:rsidR="00DA30D1" w:rsidRPr="00254197">
        <w:rPr>
          <w:rStyle w:val="Strong"/>
          <w:rFonts w:ascii="GHEA Grapalat" w:hAnsi="GHEA Grapalat"/>
          <w:b w:val="0"/>
          <w:color w:val="000000"/>
          <w:sz w:val="24"/>
          <w:szCs w:val="24"/>
          <w:shd w:val="clear" w:color="auto" w:fill="FFFFFF"/>
          <w:lang w:val="hy-AM"/>
        </w:rPr>
        <w:t xml:space="preserve"> </w:t>
      </w:r>
      <w:r w:rsidR="00DA30D1" w:rsidRPr="00254197">
        <w:rPr>
          <w:rStyle w:val="Strong"/>
          <w:rFonts w:ascii="GHEA Grapalat" w:hAnsi="GHEA Grapalat" w:cs="Arial Unicode"/>
          <w:b w:val="0"/>
          <w:color w:val="000000"/>
          <w:sz w:val="24"/>
          <w:szCs w:val="24"/>
          <w:shd w:val="clear" w:color="auto" w:fill="FFFFFF"/>
          <w:lang w:val="hy-AM"/>
        </w:rPr>
        <w:t>մասի</w:t>
      </w:r>
      <w:r w:rsidR="00DA30D1" w:rsidRPr="00254197">
        <w:rPr>
          <w:rStyle w:val="Strong"/>
          <w:rFonts w:ascii="GHEA Grapalat" w:hAnsi="GHEA Grapalat"/>
          <w:b w:val="0"/>
          <w:color w:val="000000"/>
          <w:sz w:val="24"/>
          <w:szCs w:val="24"/>
          <w:shd w:val="clear" w:color="auto" w:fill="FFFFFF"/>
          <w:lang w:val="hy-AM"/>
        </w:rPr>
        <w:t>ն</w:t>
      </w:r>
      <w:r w:rsidR="00DA30D1" w:rsidRPr="00254197">
        <w:rPr>
          <w:rFonts w:ascii="GHEA Grapalat" w:hAnsi="GHEA Grapalat" w:cs="Arial"/>
          <w:color w:val="000000"/>
          <w:sz w:val="24"/>
          <w:szCs w:val="24"/>
          <w:lang w:val="hy-AM" w:eastAsia="en-US"/>
        </w:rPr>
        <w:t>» օրենքի 2</w:t>
      </w:r>
      <w:r w:rsidR="00725ACD" w:rsidRPr="00254197">
        <w:rPr>
          <w:rFonts w:ascii="GHEA Grapalat" w:hAnsi="GHEA Grapalat"/>
          <w:b/>
          <w:sz w:val="24"/>
          <w:szCs w:val="24"/>
          <w:lang w:val="hy-AM"/>
        </w:rPr>
        <w:t>.</w:t>
      </w:r>
      <w:r w:rsidR="00DA30D1" w:rsidRPr="00254197">
        <w:rPr>
          <w:rFonts w:ascii="GHEA Grapalat" w:hAnsi="GHEA Grapalat" w:cs="Arial"/>
          <w:color w:val="000000"/>
          <w:sz w:val="24"/>
          <w:szCs w:val="24"/>
          <w:lang w:val="hy-AM" w:eastAsia="en-US"/>
        </w:rPr>
        <w:t>1-</w:t>
      </w:r>
      <w:r w:rsidR="00DA30D1" w:rsidRPr="00254197">
        <w:rPr>
          <w:rFonts w:ascii="GHEA Grapalat" w:hAnsi="GHEA Grapalat" w:cs="GHEA Grapalat"/>
          <w:color w:val="000000"/>
          <w:sz w:val="24"/>
          <w:szCs w:val="24"/>
          <w:lang w:val="hy-AM" w:eastAsia="en-US"/>
        </w:rPr>
        <w:t>րդ</w:t>
      </w:r>
      <w:r w:rsidR="00DA30D1" w:rsidRPr="00254197">
        <w:rPr>
          <w:rFonts w:ascii="GHEA Grapalat" w:hAnsi="GHEA Grapalat" w:cs="Arial"/>
          <w:color w:val="000000"/>
          <w:sz w:val="24"/>
          <w:szCs w:val="24"/>
          <w:lang w:val="hy-AM" w:eastAsia="en-US"/>
        </w:rPr>
        <w:t xml:space="preserve"> </w:t>
      </w:r>
      <w:r w:rsidR="00DA30D1" w:rsidRPr="00254197">
        <w:rPr>
          <w:rFonts w:ascii="GHEA Grapalat" w:hAnsi="GHEA Grapalat" w:cs="GHEA Grapalat"/>
          <w:color w:val="000000"/>
          <w:sz w:val="24"/>
          <w:szCs w:val="24"/>
          <w:lang w:val="hy-AM" w:eastAsia="en-US"/>
        </w:rPr>
        <w:t>հոդվածի</w:t>
      </w:r>
      <w:r w:rsidR="00DA30D1" w:rsidRPr="00254197">
        <w:rPr>
          <w:rFonts w:ascii="GHEA Grapalat" w:hAnsi="GHEA Grapalat" w:cs="Arial"/>
          <w:color w:val="000000"/>
          <w:sz w:val="24"/>
          <w:szCs w:val="24"/>
          <w:lang w:val="hy-AM" w:eastAsia="en-US"/>
        </w:rPr>
        <w:t xml:space="preserve"> </w:t>
      </w:r>
      <w:r w:rsidR="00DA30D1" w:rsidRPr="00254197">
        <w:rPr>
          <w:rFonts w:ascii="GHEA Grapalat" w:hAnsi="GHEA Grapalat" w:cs="GHEA Grapalat"/>
          <w:color w:val="000000"/>
          <w:sz w:val="24"/>
          <w:szCs w:val="24"/>
          <w:lang w:val="hy-AM" w:eastAsia="en-US"/>
        </w:rPr>
        <w:t>համաձայն</w:t>
      </w:r>
      <w:r w:rsidR="00DA30D1" w:rsidRPr="00254197">
        <w:rPr>
          <w:rStyle w:val="Strong"/>
          <w:rFonts w:ascii="GHEA Grapalat" w:hAnsi="GHEA Grapalat"/>
          <w:color w:val="000000"/>
          <w:sz w:val="24"/>
          <w:szCs w:val="24"/>
          <w:shd w:val="clear" w:color="auto" w:fill="FFFFFF"/>
          <w:lang w:val="hy-AM"/>
        </w:rPr>
        <w:t xml:space="preserve">՝ </w:t>
      </w:r>
      <w:r w:rsidR="00E76E79" w:rsidRPr="00254197">
        <w:rPr>
          <w:rFonts w:ascii="GHEA Grapalat" w:hAnsi="GHEA Grapalat"/>
          <w:color w:val="000000"/>
          <w:sz w:val="24"/>
          <w:szCs w:val="24"/>
          <w:shd w:val="clear" w:color="auto" w:fill="FFFFFF"/>
          <w:lang w:val="hy-AM"/>
        </w:rPr>
        <w:t xml:space="preserve">ստուգում իրականացնող մարմինը` հետազոտելով իր վերահսկման ոլորտը, մշակում է տվյալ ոլորտում տնտեսավարող սուբյեկտների գործունեության </w:t>
      </w:r>
      <w:proofErr w:type="spellStart"/>
      <w:r w:rsidR="00E76E79" w:rsidRPr="00254197">
        <w:rPr>
          <w:rFonts w:ascii="GHEA Grapalat" w:hAnsi="GHEA Grapalat"/>
          <w:color w:val="000000"/>
          <w:sz w:val="24"/>
          <w:szCs w:val="24"/>
          <w:shd w:val="clear" w:color="auto" w:fill="FFFFFF"/>
          <w:lang w:val="hy-AM"/>
        </w:rPr>
        <w:t>ռիսկայնության</w:t>
      </w:r>
      <w:proofErr w:type="spellEnd"/>
      <w:r w:rsidR="00E76E79" w:rsidRPr="00254197">
        <w:rPr>
          <w:rFonts w:ascii="GHEA Grapalat" w:hAnsi="GHEA Grapalat"/>
          <w:color w:val="000000"/>
          <w:sz w:val="24"/>
          <w:szCs w:val="24"/>
          <w:shd w:val="clear" w:color="auto" w:fill="FFFFFF"/>
          <w:lang w:val="hy-AM"/>
        </w:rPr>
        <w:t xml:space="preserve"> աստիճանը որոշող չափանիշները, որոնք պետք է ներառեն տնտեսավարող սուբյեկտի գործունեության ոլորտի ռիսկը և (կամ) տնտեսավարող սուբյեկտի անհատական ռիսկերի հանրագումարը: Գործունեության ոլորտի ռիսկը ցուցանիշ է, որը հաշվարկելիս հիմք են ընդունվում տնտեսավարող սուբյեկտի գործունեության ոլորտի </w:t>
      </w:r>
      <w:proofErr w:type="spellStart"/>
      <w:r w:rsidR="00E76E79" w:rsidRPr="00254197">
        <w:rPr>
          <w:rFonts w:ascii="GHEA Grapalat" w:hAnsi="GHEA Grapalat"/>
          <w:color w:val="000000"/>
          <w:sz w:val="24"/>
          <w:szCs w:val="24"/>
          <w:shd w:val="clear" w:color="auto" w:fill="FFFFFF"/>
          <w:lang w:val="hy-AM"/>
        </w:rPr>
        <w:t>կարևորությունն</w:t>
      </w:r>
      <w:proofErr w:type="spellEnd"/>
      <w:r w:rsidR="00E76E79" w:rsidRPr="00254197">
        <w:rPr>
          <w:rFonts w:ascii="GHEA Grapalat" w:hAnsi="GHEA Grapalat"/>
          <w:color w:val="000000"/>
          <w:sz w:val="24"/>
          <w:szCs w:val="24"/>
          <w:shd w:val="clear" w:color="auto" w:fill="FFFFFF"/>
          <w:lang w:val="hy-AM"/>
        </w:rPr>
        <w:t xml:space="preserve"> ու վտանգավորությունը` ըստ տվյալ գործունեությունից առաջացող հնարավոր բացասական </w:t>
      </w:r>
      <w:proofErr w:type="spellStart"/>
      <w:r w:rsidR="00E76E79" w:rsidRPr="00254197">
        <w:rPr>
          <w:rFonts w:ascii="GHEA Grapalat" w:hAnsi="GHEA Grapalat"/>
          <w:color w:val="000000"/>
          <w:sz w:val="24"/>
          <w:szCs w:val="24"/>
          <w:shd w:val="clear" w:color="auto" w:fill="FFFFFF"/>
          <w:lang w:val="hy-AM"/>
        </w:rPr>
        <w:t>հետևանքների</w:t>
      </w:r>
      <w:proofErr w:type="spellEnd"/>
      <w:r w:rsidR="00E76E79" w:rsidRPr="00254197">
        <w:rPr>
          <w:rFonts w:ascii="GHEA Grapalat" w:hAnsi="GHEA Grapalat"/>
          <w:color w:val="000000"/>
          <w:sz w:val="24"/>
          <w:szCs w:val="24"/>
          <w:shd w:val="clear" w:color="auto" w:fill="FFFFFF"/>
          <w:lang w:val="hy-AM"/>
        </w:rPr>
        <w:t>, իսկ անհատական ռիսկը հաշվարկելիս հիմք են ընդունվում տնտեսավարող սուբյեկտի կողմից օրենսդրությամբ սահմանված պահանջների խախտումները, խախտումների պարբերականությունը, խախտումների վերացմանն ուղղված գործողությունները, ինչպես նաև տնտեսավարող սուբյեկտի գործունեությունը բնութագրող այլ ցուցանիշներ:</w:t>
      </w:r>
    </w:p>
    <w:p w14:paraId="4062CCE1" w14:textId="1A9E2027" w:rsidR="005A0DC3" w:rsidRPr="00254197" w:rsidRDefault="008B6495" w:rsidP="00EE2F92">
      <w:pPr>
        <w:pStyle w:val="ListParagraph"/>
        <w:spacing w:line="360" w:lineRule="auto"/>
        <w:ind w:left="0" w:right="-151" w:firstLine="567"/>
        <w:jc w:val="both"/>
        <w:rPr>
          <w:rFonts w:ascii="GHEA Grapalat" w:hAnsi="GHEA Grapalat" w:cs="Arial"/>
          <w:color w:val="000000"/>
          <w:sz w:val="24"/>
          <w:szCs w:val="24"/>
          <w:lang w:val="hy-AM" w:eastAsia="en-US"/>
        </w:rPr>
      </w:pPr>
      <w:r w:rsidRPr="00254197">
        <w:rPr>
          <w:rStyle w:val="Strong"/>
          <w:rFonts w:ascii="GHEA Grapalat" w:hAnsi="GHEA Grapalat"/>
          <w:b w:val="0"/>
          <w:sz w:val="24"/>
          <w:szCs w:val="24"/>
          <w:lang w:val="hy-AM"/>
        </w:rPr>
        <w:t xml:space="preserve">Շուկայի վերահսկողության տեսչական մարմինը (այսուհետ` </w:t>
      </w:r>
      <w:r w:rsidR="007E17D7" w:rsidRPr="00254197">
        <w:rPr>
          <w:rStyle w:val="Strong"/>
          <w:rFonts w:ascii="GHEA Grapalat" w:hAnsi="GHEA Grapalat"/>
          <w:b w:val="0"/>
          <w:sz w:val="24"/>
          <w:szCs w:val="24"/>
          <w:lang w:val="hy-AM"/>
        </w:rPr>
        <w:t>Տ</w:t>
      </w:r>
      <w:r w:rsidRPr="00254197">
        <w:rPr>
          <w:rStyle w:val="Strong"/>
          <w:rFonts w:ascii="GHEA Grapalat" w:hAnsi="GHEA Grapalat"/>
          <w:b w:val="0"/>
          <w:sz w:val="24"/>
          <w:szCs w:val="24"/>
          <w:lang w:val="hy-AM"/>
        </w:rPr>
        <w:t>եսչական մարմին) ստուգումների պարբերականությունը պլանավոր</w:t>
      </w:r>
      <w:r w:rsidR="00E76E79" w:rsidRPr="00254197">
        <w:rPr>
          <w:rStyle w:val="Strong"/>
          <w:rFonts w:ascii="GHEA Grapalat" w:hAnsi="GHEA Grapalat"/>
          <w:b w:val="0"/>
          <w:sz w:val="24"/>
          <w:szCs w:val="24"/>
          <w:lang w:val="hy-AM"/>
        </w:rPr>
        <w:t xml:space="preserve">ելիս չի կարողանում իր վերահսկման </w:t>
      </w:r>
      <w:r w:rsidR="00E76E79" w:rsidRPr="00254197">
        <w:rPr>
          <w:rStyle w:val="Strong"/>
          <w:rFonts w:ascii="GHEA Grapalat" w:hAnsi="GHEA Grapalat"/>
          <w:b w:val="0"/>
          <w:sz w:val="24"/>
          <w:szCs w:val="24"/>
          <w:lang w:val="hy-AM"/>
        </w:rPr>
        <w:lastRenderedPageBreak/>
        <w:t xml:space="preserve">ոլորտում գործող բոլոր տնտեսավարող սուբյեկտներին ներառել ռիսկի վրա հիմնված ստուգումների համակարգում, քանի որ </w:t>
      </w:r>
      <w:proofErr w:type="spellStart"/>
      <w:r w:rsidR="005D22A1" w:rsidRPr="00254197">
        <w:rPr>
          <w:rFonts w:ascii="GHEA Grapalat" w:hAnsi="GHEA Grapalat"/>
          <w:color w:val="000000"/>
          <w:sz w:val="24"/>
          <w:szCs w:val="24"/>
          <w:shd w:val="clear" w:color="auto" w:fill="FFFFFF"/>
          <w:lang w:val="hy-AM"/>
        </w:rPr>
        <w:t>տնտեսավարողի</w:t>
      </w:r>
      <w:proofErr w:type="spellEnd"/>
      <w:r w:rsidR="005D22A1" w:rsidRPr="00254197">
        <w:rPr>
          <w:rFonts w:ascii="GHEA Grapalat" w:hAnsi="GHEA Grapalat"/>
          <w:color w:val="000000"/>
          <w:sz w:val="24"/>
          <w:szCs w:val="24"/>
          <w:shd w:val="clear" w:color="auto" w:fill="FFFFFF"/>
          <w:lang w:val="hy-AM"/>
        </w:rPr>
        <w:t xml:space="preserve"> մոտ առաջ</w:t>
      </w:r>
      <w:r w:rsidR="00B50794" w:rsidRPr="00254197">
        <w:rPr>
          <w:rFonts w:ascii="GHEA Grapalat" w:hAnsi="GHEA Grapalat"/>
          <w:color w:val="000000"/>
          <w:sz w:val="24"/>
          <w:szCs w:val="24"/>
          <w:shd w:val="clear" w:color="auto" w:fill="FFFFFF"/>
          <w:lang w:val="hy-AM"/>
        </w:rPr>
        <w:t xml:space="preserve">ին անգամ ստուգում </w:t>
      </w:r>
      <w:r w:rsidR="00DB089B" w:rsidRPr="00254197">
        <w:rPr>
          <w:rFonts w:ascii="GHEA Grapalat" w:hAnsi="GHEA Grapalat"/>
          <w:color w:val="000000"/>
          <w:sz w:val="24"/>
          <w:szCs w:val="24"/>
          <w:shd w:val="clear" w:color="auto" w:fill="FFFFFF"/>
          <w:lang w:val="hy-AM"/>
        </w:rPr>
        <w:t>իրականացնելու համար ռիսկ հաշվարկելիս առաջա</w:t>
      </w:r>
      <w:r w:rsidR="00567828" w:rsidRPr="00254197">
        <w:rPr>
          <w:rFonts w:ascii="GHEA Grapalat" w:hAnsi="GHEA Grapalat"/>
          <w:color w:val="000000"/>
          <w:sz w:val="24"/>
          <w:szCs w:val="24"/>
          <w:shd w:val="clear" w:color="auto" w:fill="FFFFFF"/>
          <w:lang w:val="hy-AM"/>
        </w:rPr>
        <w:t xml:space="preserve">նում </w:t>
      </w:r>
      <w:r w:rsidR="00DB089B" w:rsidRPr="00254197">
        <w:rPr>
          <w:rFonts w:ascii="GHEA Grapalat" w:hAnsi="GHEA Grapalat"/>
          <w:color w:val="000000"/>
          <w:sz w:val="24"/>
          <w:szCs w:val="24"/>
          <w:shd w:val="clear" w:color="auto" w:fill="FFFFFF"/>
          <w:lang w:val="hy-AM"/>
        </w:rPr>
        <w:t>են մի շարք խնդիրներ,</w:t>
      </w:r>
      <w:r w:rsidR="00567828" w:rsidRPr="00254197">
        <w:rPr>
          <w:rFonts w:ascii="GHEA Grapalat" w:hAnsi="GHEA Grapalat"/>
          <w:color w:val="000000"/>
          <w:sz w:val="24"/>
          <w:szCs w:val="24"/>
          <w:shd w:val="clear" w:color="auto" w:fill="FFFFFF"/>
          <w:lang w:val="hy-AM"/>
        </w:rPr>
        <w:t xml:space="preserve"> </w:t>
      </w:r>
      <w:r w:rsidR="00E76E79" w:rsidRPr="00254197">
        <w:rPr>
          <w:rFonts w:ascii="GHEA Grapalat" w:hAnsi="GHEA Grapalat"/>
          <w:color w:val="000000"/>
          <w:sz w:val="24"/>
          <w:szCs w:val="24"/>
          <w:shd w:val="clear" w:color="auto" w:fill="FFFFFF"/>
          <w:lang w:val="hy-AM"/>
        </w:rPr>
        <w:t>այն է՝</w:t>
      </w:r>
      <w:r w:rsidR="000A5F53" w:rsidRPr="00254197">
        <w:rPr>
          <w:rFonts w:ascii="GHEA Grapalat" w:hAnsi="GHEA Grapalat"/>
          <w:color w:val="000000"/>
          <w:sz w:val="24"/>
          <w:szCs w:val="24"/>
          <w:shd w:val="clear" w:color="auto" w:fill="FFFFFF"/>
          <w:lang w:val="hy-AM"/>
        </w:rPr>
        <w:t xml:space="preserve"> վերջիններս </w:t>
      </w:r>
      <w:proofErr w:type="spellStart"/>
      <w:r w:rsidR="000A5F53" w:rsidRPr="00254197">
        <w:rPr>
          <w:rFonts w:ascii="GHEA Grapalat" w:hAnsi="GHEA Grapalat"/>
          <w:color w:val="000000"/>
          <w:sz w:val="24"/>
          <w:szCs w:val="24"/>
          <w:shd w:val="clear" w:color="auto" w:fill="FFFFFF"/>
          <w:lang w:val="hy-AM"/>
        </w:rPr>
        <w:t>երբևէ</w:t>
      </w:r>
      <w:proofErr w:type="spellEnd"/>
      <w:r w:rsidR="000A5F53" w:rsidRPr="00254197">
        <w:rPr>
          <w:rFonts w:ascii="GHEA Grapalat" w:hAnsi="GHEA Grapalat"/>
          <w:color w:val="000000"/>
          <w:sz w:val="24"/>
          <w:szCs w:val="24"/>
          <w:shd w:val="clear" w:color="auto" w:fill="FFFFFF"/>
          <w:lang w:val="hy-AM"/>
        </w:rPr>
        <w:t xml:space="preserve"> չստուգված լինելու պարագայում՝ շարունակաբար դուրս են մնում վերահսկողության շղթայից, արդյունքում </w:t>
      </w:r>
      <w:proofErr w:type="spellStart"/>
      <w:r w:rsidR="000A5F53" w:rsidRPr="00254197">
        <w:rPr>
          <w:rFonts w:ascii="GHEA Grapalat" w:hAnsi="GHEA Grapalat"/>
          <w:color w:val="000000"/>
          <w:sz w:val="24"/>
          <w:szCs w:val="24"/>
          <w:shd w:val="clear" w:color="auto" w:fill="FFFFFF"/>
          <w:lang w:val="hy-AM"/>
        </w:rPr>
        <w:t>ձևավորելով</w:t>
      </w:r>
      <w:proofErr w:type="spellEnd"/>
      <w:r w:rsidR="000A5F53" w:rsidRPr="00254197">
        <w:rPr>
          <w:rFonts w:ascii="GHEA Grapalat" w:hAnsi="GHEA Grapalat"/>
          <w:color w:val="000000"/>
          <w:sz w:val="24"/>
          <w:szCs w:val="24"/>
          <w:shd w:val="clear" w:color="auto" w:fill="FFFFFF"/>
          <w:lang w:val="hy-AM"/>
        </w:rPr>
        <w:t xml:space="preserve"> այնպիսի պատկեր, երբ </w:t>
      </w:r>
      <w:r w:rsidR="000A5F53" w:rsidRPr="00254197">
        <w:rPr>
          <w:rFonts w:ascii="GHEA Grapalat" w:hAnsi="GHEA Grapalat" w:cs="Arial"/>
          <w:color w:val="000000"/>
          <w:sz w:val="24"/>
          <w:szCs w:val="24"/>
          <w:lang w:val="hy-AM" w:eastAsia="en-US"/>
        </w:rPr>
        <w:t xml:space="preserve">ստուգված և խախտում </w:t>
      </w:r>
      <w:proofErr w:type="spellStart"/>
      <w:r w:rsidR="000A5F53" w:rsidRPr="00254197">
        <w:rPr>
          <w:rFonts w:ascii="GHEA Grapalat" w:hAnsi="GHEA Grapalat" w:cs="Arial"/>
          <w:color w:val="000000"/>
          <w:sz w:val="24"/>
          <w:szCs w:val="24"/>
          <w:lang w:val="hy-AM" w:eastAsia="en-US"/>
        </w:rPr>
        <w:t>չարձանագրված</w:t>
      </w:r>
      <w:proofErr w:type="spellEnd"/>
      <w:r w:rsidR="000A5F53" w:rsidRPr="00254197">
        <w:rPr>
          <w:rFonts w:ascii="GHEA Grapalat" w:hAnsi="GHEA Grapalat" w:cs="Arial"/>
          <w:color w:val="000000"/>
          <w:sz w:val="24"/>
          <w:szCs w:val="24"/>
          <w:lang w:val="hy-AM" w:eastAsia="en-US"/>
        </w:rPr>
        <w:t xml:space="preserve"> տնտեսվարող սուբյեկտի ընդհանուր ռիսկը </w:t>
      </w:r>
      <w:proofErr w:type="spellStart"/>
      <w:r w:rsidR="00E76E79" w:rsidRPr="00254197">
        <w:rPr>
          <w:rFonts w:ascii="GHEA Grapalat" w:hAnsi="GHEA Grapalat" w:cs="Arial"/>
          <w:color w:val="000000"/>
          <w:sz w:val="24"/>
          <w:szCs w:val="24"/>
          <w:lang w:val="hy-AM" w:eastAsia="en-US"/>
        </w:rPr>
        <w:t>չստուգվածից</w:t>
      </w:r>
      <w:proofErr w:type="spellEnd"/>
      <w:r w:rsidR="00E76E79" w:rsidRPr="00254197">
        <w:rPr>
          <w:rFonts w:ascii="GHEA Grapalat" w:hAnsi="GHEA Grapalat" w:cs="Arial"/>
          <w:color w:val="000000"/>
          <w:sz w:val="24"/>
          <w:szCs w:val="24"/>
          <w:lang w:val="hy-AM" w:eastAsia="en-US"/>
        </w:rPr>
        <w:t xml:space="preserve"> </w:t>
      </w:r>
      <w:r w:rsidR="000A5F53" w:rsidRPr="00254197">
        <w:rPr>
          <w:rFonts w:ascii="GHEA Grapalat" w:hAnsi="GHEA Grapalat" w:cs="Arial"/>
          <w:color w:val="000000"/>
          <w:sz w:val="24"/>
          <w:szCs w:val="24"/>
          <w:lang w:val="hy-AM" w:eastAsia="en-US"/>
        </w:rPr>
        <w:t xml:space="preserve">ավելի բարձր է </w:t>
      </w:r>
      <w:r w:rsidR="00E76E79" w:rsidRPr="00254197">
        <w:rPr>
          <w:rFonts w:ascii="GHEA Grapalat" w:hAnsi="GHEA Grapalat" w:cs="Arial"/>
          <w:color w:val="000000"/>
          <w:sz w:val="24"/>
          <w:szCs w:val="24"/>
          <w:lang w:val="hy-AM" w:eastAsia="en-US"/>
        </w:rPr>
        <w:t>հաշվարկվում</w:t>
      </w:r>
      <w:r w:rsidR="000A5F53" w:rsidRPr="00254197">
        <w:rPr>
          <w:rFonts w:ascii="GHEA Grapalat" w:hAnsi="GHEA Grapalat" w:cs="Arial"/>
          <w:color w:val="000000"/>
          <w:sz w:val="24"/>
          <w:szCs w:val="24"/>
          <w:lang w:val="hy-AM" w:eastAsia="en-US"/>
        </w:rPr>
        <w:t>:</w:t>
      </w:r>
      <w:r w:rsidR="005A0DC3" w:rsidRPr="00254197">
        <w:rPr>
          <w:rFonts w:ascii="GHEA Grapalat" w:hAnsi="GHEA Grapalat" w:cs="Arial"/>
          <w:color w:val="000000"/>
          <w:sz w:val="24"/>
          <w:szCs w:val="24"/>
          <w:lang w:val="hy-AM" w:eastAsia="en-US"/>
        </w:rPr>
        <w:t xml:space="preserve"> </w:t>
      </w:r>
    </w:p>
    <w:p w14:paraId="295A9DFE" w14:textId="528E9024" w:rsidR="00567828" w:rsidRPr="00254197" w:rsidRDefault="005A0DC3" w:rsidP="00EE2F92">
      <w:pPr>
        <w:pStyle w:val="ListParagraph"/>
        <w:spacing w:line="360" w:lineRule="auto"/>
        <w:ind w:left="0" w:right="-151" w:firstLine="567"/>
        <w:jc w:val="both"/>
        <w:rPr>
          <w:rFonts w:ascii="GHEA Grapalat" w:hAnsi="GHEA Grapalat" w:cs="Arial"/>
          <w:color w:val="000000"/>
          <w:sz w:val="24"/>
          <w:szCs w:val="24"/>
          <w:lang w:val="hy-AM" w:eastAsia="en-US"/>
        </w:rPr>
      </w:pPr>
      <w:proofErr w:type="spellStart"/>
      <w:r w:rsidRPr="00254197">
        <w:rPr>
          <w:rFonts w:ascii="GHEA Grapalat" w:hAnsi="GHEA Grapalat" w:cs="Arial"/>
          <w:color w:val="000000"/>
          <w:sz w:val="24"/>
          <w:szCs w:val="24"/>
          <w:lang w:val="hy-AM" w:eastAsia="en-US"/>
        </w:rPr>
        <w:t>Հետևաբար</w:t>
      </w:r>
      <w:proofErr w:type="spellEnd"/>
      <w:r w:rsidR="00B923D7" w:rsidRPr="00254197">
        <w:rPr>
          <w:rFonts w:ascii="GHEA Grapalat" w:hAnsi="GHEA Grapalat" w:cs="Arial"/>
          <w:color w:val="000000"/>
          <w:sz w:val="24"/>
          <w:szCs w:val="24"/>
          <w:lang w:val="hy-AM" w:eastAsia="en-US"/>
        </w:rPr>
        <w:t>,</w:t>
      </w:r>
      <w:r w:rsidRPr="00254197">
        <w:rPr>
          <w:rFonts w:ascii="GHEA Grapalat" w:hAnsi="GHEA Grapalat" w:cs="Arial"/>
          <w:color w:val="000000"/>
          <w:sz w:val="24"/>
          <w:szCs w:val="24"/>
          <w:lang w:val="hy-AM" w:eastAsia="en-US"/>
        </w:rPr>
        <w:t xml:space="preserve"> ա</w:t>
      </w:r>
      <w:r w:rsidR="00AD067D" w:rsidRPr="00254197">
        <w:rPr>
          <w:rFonts w:ascii="GHEA Grapalat" w:hAnsi="GHEA Grapalat" w:cs="Arial"/>
          <w:color w:val="000000"/>
          <w:sz w:val="24"/>
          <w:szCs w:val="24"/>
          <w:lang w:val="hy-AM" w:eastAsia="en-US"/>
        </w:rPr>
        <w:t>ն</w:t>
      </w:r>
      <w:r w:rsidRPr="00254197">
        <w:rPr>
          <w:rFonts w:ascii="GHEA Grapalat" w:hAnsi="GHEA Grapalat" w:cs="Arial"/>
          <w:color w:val="000000"/>
          <w:sz w:val="24"/>
          <w:szCs w:val="24"/>
          <w:lang w:val="hy-AM" w:eastAsia="en-US"/>
        </w:rPr>
        <w:t xml:space="preserve">հրաժեշտ է </w:t>
      </w:r>
      <w:r w:rsidRPr="00254197">
        <w:rPr>
          <w:rFonts w:ascii="GHEA Grapalat" w:hAnsi="GHEA Grapalat"/>
          <w:color w:val="000000"/>
          <w:sz w:val="24"/>
          <w:szCs w:val="24"/>
          <w:shd w:val="clear" w:color="auto" w:fill="FFFFFF"/>
          <w:lang w:val="hy-AM"/>
        </w:rPr>
        <w:t xml:space="preserve">վերահսկողության շղթայից </w:t>
      </w:r>
      <w:r w:rsidRPr="00254197">
        <w:rPr>
          <w:rFonts w:ascii="GHEA Grapalat" w:hAnsi="GHEA Grapalat" w:cs="Arial"/>
          <w:color w:val="000000"/>
          <w:sz w:val="24"/>
          <w:szCs w:val="24"/>
          <w:lang w:val="hy-AM" w:eastAsia="en-US"/>
        </w:rPr>
        <w:t>պարբերաբար դուրս մնացող տնտեսավարող սուբյեկտների անհատական ռիսկը հաշվարկելիս</w:t>
      </w:r>
      <w:r w:rsidR="00B923D7" w:rsidRPr="00254197">
        <w:rPr>
          <w:rFonts w:ascii="GHEA Grapalat" w:hAnsi="GHEA Grapalat" w:cs="Arial"/>
          <w:color w:val="000000"/>
          <w:sz w:val="24"/>
          <w:szCs w:val="24"/>
          <w:lang w:val="hy-AM" w:eastAsia="en-US"/>
        </w:rPr>
        <w:t>՝</w:t>
      </w:r>
      <w:r w:rsidRPr="00254197">
        <w:rPr>
          <w:rFonts w:ascii="GHEA Grapalat" w:hAnsi="GHEA Grapalat" w:cs="Arial"/>
          <w:color w:val="000000"/>
          <w:sz w:val="24"/>
          <w:szCs w:val="24"/>
          <w:lang w:val="hy-AM" w:eastAsia="en-US"/>
        </w:rPr>
        <w:t xml:space="preserve"> սահմանել գործունեության վերլուծության արդյունքում </w:t>
      </w:r>
      <w:proofErr w:type="spellStart"/>
      <w:r w:rsidRPr="00254197">
        <w:rPr>
          <w:rFonts w:ascii="GHEA Grapalat" w:hAnsi="GHEA Grapalat" w:cs="Arial"/>
          <w:color w:val="000000"/>
          <w:sz w:val="24"/>
          <w:szCs w:val="24"/>
          <w:lang w:val="hy-AM" w:eastAsia="en-US"/>
        </w:rPr>
        <w:t>ձևավորված</w:t>
      </w:r>
      <w:proofErr w:type="spellEnd"/>
      <w:r w:rsidRPr="00254197">
        <w:rPr>
          <w:rFonts w:ascii="GHEA Grapalat" w:hAnsi="GHEA Grapalat" w:cs="Arial"/>
          <w:color w:val="000000"/>
          <w:sz w:val="24"/>
          <w:szCs w:val="24"/>
          <w:lang w:val="hy-AM" w:eastAsia="en-US"/>
        </w:rPr>
        <w:t xml:space="preserve"> ռիսկի գնահատման առանձին մեխանիզմներ:</w:t>
      </w:r>
      <w:r w:rsidR="000A5F53" w:rsidRPr="00254197">
        <w:rPr>
          <w:rFonts w:ascii="GHEA Grapalat" w:hAnsi="GHEA Grapalat" w:cs="Arial"/>
          <w:color w:val="000000"/>
          <w:sz w:val="24"/>
          <w:szCs w:val="24"/>
          <w:lang w:val="hy-AM" w:eastAsia="en-US"/>
        </w:rPr>
        <w:t xml:space="preserve"> </w:t>
      </w:r>
    </w:p>
    <w:p w14:paraId="3629E0BC" w14:textId="721D7059" w:rsidR="00754A0C" w:rsidRPr="00254197" w:rsidRDefault="00E76E79" w:rsidP="006548A2">
      <w:pPr>
        <w:pStyle w:val="ListParagraph"/>
        <w:spacing w:line="360" w:lineRule="auto"/>
        <w:ind w:left="0" w:right="-151" w:firstLine="567"/>
        <w:jc w:val="both"/>
        <w:rPr>
          <w:rFonts w:ascii="GHEA Grapalat" w:hAnsi="GHEA Grapalat"/>
          <w:color w:val="000000"/>
          <w:sz w:val="24"/>
          <w:szCs w:val="24"/>
          <w:shd w:val="clear" w:color="auto" w:fill="FFFFFF"/>
          <w:lang w:val="hy-AM"/>
        </w:rPr>
      </w:pPr>
      <w:r w:rsidRPr="00254197">
        <w:rPr>
          <w:rFonts w:ascii="GHEA Grapalat" w:hAnsi="GHEA Grapalat" w:cs="Arial"/>
          <w:color w:val="000000"/>
          <w:sz w:val="24"/>
          <w:szCs w:val="24"/>
          <w:lang w:val="hy-AM" w:eastAsia="en-US"/>
        </w:rPr>
        <w:t xml:space="preserve">Բացի այդ, ՀՀ կառավարության 2015 թվականի հունվարի 30-ի  N 71-Ն որոշման N 2 </w:t>
      </w:r>
      <w:proofErr w:type="spellStart"/>
      <w:r w:rsidR="00254197" w:rsidRPr="00254197">
        <w:rPr>
          <w:rFonts w:ascii="GHEA Grapalat" w:hAnsi="GHEA Grapalat" w:cs="Arial"/>
          <w:color w:val="000000"/>
          <w:sz w:val="24"/>
          <w:szCs w:val="24"/>
          <w:lang w:val="hy-AM" w:eastAsia="en-US"/>
        </w:rPr>
        <w:t>h</w:t>
      </w:r>
      <w:r w:rsidRPr="00254197">
        <w:rPr>
          <w:rFonts w:ascii="GHEA Grapalat" w:hAnsi="GHEA Grapalat" w:cs="Arial"/>
          <w:color w:val="000000"/>
          <w:sz w:val="24"/>
          <w:szCs w:val="24"/>
          <w:lang w:val="hy-AM" w:eastAsia="en-US"/>
        </w:rPr>
        <w:t>ավելվածի</w:t>
      </w:r>
      <w:proofErr w:type="spellEnd"/>
      <w:r w:rsidRPr="00254197">
        <w:rPr>
          <w:rFonts w:ascii="GHEA Grapalat" w:hAnsi="GHEA Grapalat" w:cs="Arial"/>
          <w:color w:val="000000"/>
          <w:sz w:val="24"/>
          <w:szCs w:val="24"/>
          <w:lang w:val="hy-AM" w:eastAsia="en-US"/>
        </w:rPr>
        <w:t xml:space="preserve"> համաձայն՝ մի շարք տեխնիկական </w:t>
      </w:r>
      <w:proofErr w:type="spellStart"/>
      <w:r w:rsidRPr="00254197">
        <w:rPr>
          <w:rFonts w:ascii="GHEA Grapalat" w:hAnsi="GHEA Grapalat" w:cs="Arial"/>
          <w:color w:val="000000"/>
          <w:sz w:val="24"/>
          <w:szCs w:val="24"/>
          <w:lang w:val="hy-AM" w:eastAsia="en-US"/>
        </w:rPr>
        <w:t>կանոնակարգերի</w:t>
      </w:r>
      <w:proofErr w:type="spellEnd"/>
      <w:r w:rsidRPr="00254197">
        <w:rPr>
          <w:rFonts w:ascii="GHEA Grapalat" w:hAnsi="GHEA Grapalat" w:cs="Arial"/>
          <w:color w:val="000000"/>
          <w:sz w:val="24"/>
          <w:szCs w:val="24"/>
          <w:lang w:val="hy-AM" w:eastAsia="en-US"/>
        </w:rPr>
        <w:t xml:space="preserve">, մասնավորապես՝ </w:t>
      </w:r>
      <w:proofErr w:type="spellStart"/>
      <w:r w:rsidRPr="00254197">
        <w:rPr>
          <w:rFonts w:ascii="GHEA Grapalat" w:hAnsi="GHEA Grapalat" w:cs="Arial"/>
          <w:color w:val="000000"/>
          <w:sz w:val="24"/>
          <w:szCs w:val="24"/>
          <w:lang w:val="hy-AM" w:eastAsia="en-US"/>
        </w:rPr>
        <w:t>Եվրասիական</w:t>
      </w:r>
      <w:proofErr w:type="spellEnd"/>
      <w:r w:rsidRPr="00254197">
        <w:rPr>
          <w:rFonts w:ascii="GHEA Grapalat" w:hAnsi="GHEA Grapalat" w:cs="Arial"/>
          <w:color w:val="000000"/>
          <w:sz w:val="24"/>
          <w:szCs w:val="24"/>
          <w:lang w:val="hy-AM" w:eastAsia="en-US"/>
        </w:rPr>
        <w:t xml:space="preserve"> տնտեսական միության հանձնաժողովի 2016 թվականի նոյեմբերի 30-ի N 150 որոշմամբ հաստատված «Հանքային </w:t>
      </w:r>
      <w:proofErr w:type="spellStart"/>
      <w:r w:rsidRPr="00254197">
        <w:rPr>
          <w:rFonts w:ascii="GHEA Grapalat" w:hAnsi="GHEA Grapalat" w:cs="Arial"/>
          <w:color w:val="000000"/>
          <w:sz w:val="24"/>
          <w:szCs w:val="24"/>
          <w:lang w:val="hy-AM" w:eastAsia="en-US"/>
        </w:rPr>
        <w:t>պարարտանյութերին</w:t>
      </w:r>
      <w:proofErr w:type="spellEnd"/>
      <w:r w:rsidRPr="00254197">
        <w:rPr>
          <w:rFonts w:ascii="GHEA Grapalat" w:hAnsi="GHEA Grapalat" w:cs="Arial"/>
          <w:color w:val="000000"/>
          <w:sz w:val="24"/>
          <w:szCs w:val="24"/>
          <w:lang w:val="hy-AM" w:eastAsia="en-US"/>
        </w:rPr>
        <w:t xml:space="preserve"> ներկայացվող պահանջների մասին» (ԵԱՏՄ ՏԿ 039/2016), </w:t>
      </w:r>
      <w:proofErr w:type="spellStart"/>
      <w:r w:rsidRPr="00254197">
        <w:rPr>
          <w:rFonts w:ascii="GHEA Grapalat" w:hAnsi="GHEA Grapalat" w:cs="Arial"/>
          <w:color w:val="000000"/>
          <w:sz w:val="24"/>
          <w:szCs w:val="24"/>
          <w:lang w:val="hy-AM" w:eastAsia="en-US"/>
        </w:rPr>
        <w:t>Եվրասիական</w:t>
      </w:r>
      <w:proofErr w:type="spellEnd"/>
      <w:r w:rsidRPr="00254197">
        <w:rPr>
          <w:rFonts w:ascii="GHEA Grapalat" w:hAnsi="GHEA Grapalat" w:cs="Arial"/>
          <w:color w:val="000000"/>
          <w:sz w:val="24"/>
          <w:szCs w:val="24"/>
          <w:lang w:val="hy-AM" w:eastAsia="en-US"/>
        </w:rPr>
        <w:t xml:space="preserve"> տնտեսական միության հանձնաժողովի 2017 թվականի մարտի 3-ի N 19 որոշմամբ հաստատված «Քիմիական արտադրանքի անվտանգության մասին» (ԵԱՏՄ ՏԿ 041/2011), </w:t>
      </w:r>
      <w:proofErr w:type="spellStart"/>
      <w:r w:rsidRPr="00254197">
        <w:rPr>
          <w:rFonts w:ascii="GHEA Grapalat" w:hAnsi="GHEA Grapalat" w:cs="Arial"/>
          <w:color w:val="000000"/>
          <w:sz w:val="24"/>
          <w:szCs w:val="24"/>
          <w:lang w:val="hy-AM" w:eastAsia="en-US"/>
        </w:rPr>
        <w:t>Եվրասիական</w:t>
      </w:r>
      <w:proofErr w:type="spellEnd"/>
      <w:r w:rsidRPr="00254197">
        <w:rPr>
          <w:rFonts w:ascii="GHEA Grapalat" w:hAnsi="GHEA Grapalat" w:cs="Arial"/>
          <w:color w:val="000000"/>
          <w:sz w:val="24"/>
          <w:szCs w:val="24"/>
          <w:lang w:val="hy-AM" w:eastAsia="en-US"/>
        </w:rPr>
        <w:t xml:space="preserve"> տնտեսական միության հանձնաժողովի 2019 թվականի օգոստոսի 8-ի N 114 որոշմամբ հաստատված «</w:t>
      </w:r>
      <w:proofErr w:type="spellStart"/>
      <w:r w:rsidRPr="00254197">
        <w:rPr>
          <w:rFonts w:ascii="GHEA Grapalat" w:hAnsi="GHEA Grapalat" w:cs="Arial"/>
          <w:color w:val="000000"/>
          <w:sz w:val="24"/>
          <w:szCs w:val="24"/>
          <w:lang w:val="hy-AM" w:eastAsia="en-US"/>
        </w:rPr>
        <w:t>Էներգախնայող</w:t>
      </w:r>
      <w:proofErr w:type="spellEnd"/>
      <w:r w:rsidRPr="00254197">
        <w:rPr>
          <w:rFonts w:ascii="GHEA Grapalat" w:hAnsi="GHEA Grapalat" w:cs="Arial"/>
          <w:color w:val="000000"/>
          <w:sz w:val="24"/>
          <w:szCs w:val="24"/>
          <w:lang w:val="hy-AM" w:eastAsia="en-US"/>
        </w:rPr>
        <w:t xml:space="preserve"> սարքերի </w:t>
      </w:r>
      <w:proofErr w:type="spellStart"/>
      <w:r w:rsidRPr="00254197">
        <w:rPr>
          <w:rFonts w:ascii="GHEA Grapalat" w:hAnsi="GHEA Grapalat" w:cs="Arial"/>
          <w:color w:val="000000"/>
          <w:sz w:val="24"/>
          <w:szCs w:val="24"/>
          <w:lang w:val="hy-AM" w:eastAsia="en-US"/>
        </w:rPr>
        <w:t>էներգաարդյունավետությանը</w:t>
      </w:r>
      <w:proofErr w:type="spellEnd"/>
      <w:r w:rsidRPr="00254197">
        <w:rPr>
          <w:rFonts w:ascii="GHEA Grapalat" w:hAnsi="GHEA Grapalat" w:cs="Arial"/>
          <w:color w:val="000000"/>
          <w:sz w:val="24"/>
          <w:szCs w:val="24"/>
          <w:lang w:val="hy-AM" w:eastAsia="en-US"/>
        </w:rPr>
        <w:t xml:space="preserve"> ներկայացվող պահանջների մասին» (ԵԱՏՄ ՏԿ 048/2019)</w:t>
      </w:r>
      <w:r w:rsidR="00AD067D" w:rsidRPr="00254197">
        <w:rPr>
          <w:rFonts w:ascii="GHEA Grapalat" w:hAnsi="GHEA Grapalat" w:cs="Arial"/>
          <w:color w:val="000000"/>
          <w:sz w:val="24"/>
          <w:szCs w:val="24"/>
          <w:lang w:val="hy-AM" w:eastAsia="en-US"/>
        </w:rPr>
        <w:t xml:space="preserve">, </w:t>
      </w:r>
      <w:proofErr w:type="spellStart"/>
      <w:r w:rsidR="00AD067D" w:rsidRPr="00254197">
        <w:rPr>
          <w:rFonts w:ascii="GHEA Grapalat" w:hAnsi="GHEA Grapalat" w:cs="Arial"/>
          <w:color w:val="000000"/>
          <w:sz w:val="24"/>
          <w:szCs w:val="24"/>
          <w:lang w:val="hy-AM" w:eastAsia="en-US"/>
        </w:rPr>
        <w:t>Եվրասիական</w:t>
      </w:r>
      <w:proofErr w:type="spellEnd"/>
      <w:r w:rsidR="00AD067D" w:rsidRPr="00254197">
        <w:rPr>
          <w:rFonts w:ascii="GHEA Grapalat" w:hAnsi="GHEA Grapalat" w:cs="Arial"/>
          <w:color w:val="000000"/>
          <w:sz w:val="24"/>
          <w:szCs w:val="24"/>
          <w:lang w:val="hy-AM" w:eastAsia="en-US"/>
        </w:rPr>
        <w:t xml:space="preserve"> տնտեսական միության հանձնաժողովի 2017 թվականի դեկտեմբերի 20-ի N 89 որոշմամբ հաստատված «Փոխադրման և (կամ) օգտագործման համար պատրաստված նավթի անվտանգության մասին» (ԵՏՄ ՏԿ 045/2017), </w:t>
      </w:r>
      <w:proofErr w:type="spellStart"/>
      <w:r w:rsidR="00AD067D" w:rsidRPr="00254197">
        <w:rPr>
          <w:rFonts w:ascii="GHEA Grapalat" w:hAnsi="GHEA Grapalat" w:cs="Arial"/>
          <w:color w:val="000000"/>
          <w:sz w:val="24"/>
          <w:szCs w:val="24"/>
          <w:lang w:val="hy-AM" w:eastAsia="en-US"/>
        </w:rPr>
        <w:t>Եվրասիական</w:t>
      </w:r>
      <w:proofErr w:type="spellEnd"/>
      <w:r w:rsidR="00AD067D" w:rsidRPr="00254197">
        <w:rPr>
          <w:rFonts w:ascii="GHEA Grapalat" w:hAnsi="GHEA Grapalat" w:cs="Arial"/>
          <w:color w:val="000000"/>
          <w:sz w:val="24"/>
          <w:szCs w:val="24"/>
          <w:lang w:val="hy-AM" w:eastAsia="en-US"/>
        </w:rPr>
        <w:t xml:space="preserve"> տնտեսական միության հանձնաժողովի 2018 թվականի սեպտեմբերի 14-ի N 74 որոշմամբ հաստատված «Տրանսպորտային փոխադրման և (կամ) օգտագործման համար նախապատրաստված բնական այրվող գազի անվտանգության մասին» (ԵԱՏՄ ՏԿ 046/2018)</w:t>
      </w:r>
      <w:r w:rsidR="00AD067D" w:rsidRPr="00254197">
        <w:rPr>
          <w:rFonts w:cs="Calibri"/>
          <w:color w:val="000000"/>
          <w:sz w:val="24"/>
          <w:szCs w:val="24"/>
          <w:lang w:val="hy-AM" w:eastAsia="en-US"/>
        </w:rPr>
        <w:t> </w:t>
      </w:r>
      <w:r w:rsidRPr="00254197">
        <w:rPr>
          <w:rFonts w:ascii="GHEA Grapalat" w:hAnsi="GHEA Grapalat" w:cs="Arial"/>
          <w:color w:val="000000"/>
          <w:sz w:val="24"/>
          <w:szCs w:val="24"/>
          <w:lang w:val="hy-AM" w:eastAsia="en-US"/>
        </w:rPr>
        <w:t xml:space="preserve"> </w:t>
      </w:r>
      <w:proofErr w:type="spellStart"/>
      <w:r w:rsidRPr="00254197">
        <w:rPr>
          <w:rFonts w:ascii="GHEA Grapalat" w:hAnsi="GHEA Grapalat" w:cs="Arial"/>
          <w:color w:val="000000"/>
          <w:sz w:val="24"/>
          <w:szCs w:val="24"/>
          <w:lang w:val="hy-AM" w:eastAsia="en-US"/>
        </w:rPr>
        <w:t>Եվրասիական</w:t>
      </w:r>
      <w:proofErr w:type="spellEnd"/>
      <w:r w:rsidRPr="00254197">
        <w:rPr>
          <w:rFonts w:ascii="GHEA Grapalat" w:hAnsi="GHEA Grapalat" w:cs="Arial"/>
          <w:color w:val="000000"/>
          <w:sz w:val="24"/>
          <w:szCs w:val="24"/>
          <w:lang w:val="hy-AM" w:eastAsia="en-US"/>
        </w:rPr>
        <w:t xml:space="preserve"> տնտեսական միության տեխնիկական </w:t>
      </w:r>
      <w:proofErr w:type="spellStart"/>
      <w:r w:rsidRPr="00254197">
        <w:rPr>
          <w:rFonts w:ascii="GHEA Grapalat" w:hAnsi="GHEA Grapalat" w:cs="Arial"/>
          <w:color w:val="000000"/>
          <w:sz w:val="24"/>
          <w:szCs w:val="24"/>
          <w:lang w:val="hy-AM" w:eastAsia="en-US"/>
        </w:rPr>
        <w:t>կանոնակարգերի</w:t>
      </w:r>
      <w:proofErr w:type="spellEnd"/>
      <w:r w:rsidR="00754A0C" w:rsidRPr="00254197">
        <w:rPr>
          <w:rFonts w:ascii="GHEA Grapalat" w:hAnsi="GHEA Grapalat" w:cs="Arial"/>
          <w:color w:val="000000"/>
          <w:sz w:val="24"/>
          <w:szCs w:val="24"/>
          <w:lang w:val="hy-AM" w:eastAsia="en-US"/>
        </w:rPr>
        <w:t xml:space="preserve"> </w:t>
      </w:r>
      <w:r w:rsidR="00754A0C" w:rsidRPr="00254197">
        <w:rPr>
          <w:rFonts w:ascii="GHEA Grapalat" w:hAnsi="GHEA Grapalat" w:cs="Arial"/>
          <w:color w:val="000000"/>
          <w:sz w:val="24"/>
          <w:szCs w:val="24"/>
          <w:lang w:val="hy-AM" w:eastAsia="en-US"/>
        </w:rPr>
        <w:lastRenderedPageBreak/>
        <w:t xml:space="preserve">պահանջների նկատմամբ վերահսկողությունը վերապահվել է Տեսչական մարմնին, ուստի անհրաժեշտություն է առաջացել  հաշվարկել  վերոնշյալ տեխնիկական </w:t>
      </w:r>
      <w:proofErr w:type="spellStart"/>
      <w:r w:rsidR="00754A0C" w:rsidRPr="00254197">
        <w:rPr>
          <w:rFonts w:ascii="GHEA Grapalat" w:hAnsi="GHEA Grapalat" w:cs="Arial"/>
          <w:color w:val="000000"/>
          <w:sz w:val="24"/>
          <w:szCs w:val="24"/>
          <w:lang w:val="hy-AM" w:eastAsia="en-US"/>
        </w:rPr>
        <w:t>կանոնակարգերի</w:t>
      </w:r>
      <w:proofErr w:type="spellEnd"/>
      <w:r w:rsidR="00754A0C" w:rsidRPr="00254197">
        <w:rPr>
          <w:rFonts w:ascii="GHEA Grapalat" w:hAnsi="GHEA Grapalat" w:cs="Arial"/>
          <w:color w:val="000000"/>
          <w:sz w:val="24"/>
          <w:szCs w:val="24"/>
          <w:lang w:val="hy-AM" w:eastAsia="en-US"/>
        </w:rPr>
        <w:t xml:space="preserve"> կանոնակարգման ոլորտների </w:t>
      </w:r>
      <w:proofErr w:type="spellStart"/>
      <w:r w:rsidR="00754A0C" w:rsidRPr="00254197">
        <w:rPr>
          <w:rFonts w:ascii="GHEA Grapalat" w:hAnsi="GHEA Grapalat" w:cs="Arial"/>
          <w:color w:val="000000"/>
          <w:sz w:val="24"/>
          <w:szCs w:val="24"/>
          <w:lang w:val="hy-AM" w:eastAsia="en-US"/>
        </w:rPr>
        <w:t>ռիսկ</w:t>
      </w:r>
      <w:r w:rsidR="00616E02" w:rsidRPr="00254197">
        <w:rPr>
          <w:rFonts w:ascii="GHEA Grapalat" w:hAnsi="GHEA Grapalat" w:cs="Arial"/>
          <w:color w:val="000000"/>
          <w:sz w:val="24"/>
          <w:szCs w:val="24"/>
          <w:lang w:val="hy-AM" w:eastAsia="en-US"/>
        </w:rPr>
        <w:t>այնության</w:t>
      </w:r>
      <w:proofErr w:type="spellEnd"/>
      <w:r w:rsidR="00754A0C" w:rsidRPr="00254197">
        <w:rPr>
          <w:rFonts w:ascii="GHEA Grapalat" w:hAnsi="GHEA Grapalat" w:cs="Arial"/>
          <w:color w:val="000000"/>
          <w:sz w:val="24"/>
          <w:szCs w:val="24"/>
          <w:lang w:val="hy-AM" w:eastAsia="en-US"/>
        </w:rPr>
        <w:t xml:space="preserve"> ցուցանիշ</w:t>
      </w:r>
      <w:r w:rsidR="00616E02" w:rsidRPr="00254197">
        <w:rPr>
          <w:rFonts w:ascii="GHEA Grapalat" w:hAnsi="GHEA Grapalat" w:cs="Arial"/>
          <w:color w:val="000000"/>
          <w:sz w:val="24"/>
          <w:szCs w:val="24"/>
          <w:lang w:val="hy-AM" w:eastAsia="en-US"/>
        </w:rPr>
        <w:t>ները</w:t>
      </w:r>
      <w:r w:rsidR="00754A0C" w:rsidRPr="00254197">
        <w:rPr>
          <w:rFonts w:ascii="GHEA Grapalat" w:hAnsi="GHEA Grapalat" w:cs="Arial"/>
          <w:color w:val="000000"/>
          <w:sz w:val="24"/>
          <w:szCs w:val="24"/>
          <w:lang w:val="hy-AM" w:eastAsia="en-US"/>
        </w:rPr>
        <w:t>՝ հ</w:t>
      </w:r>
      <w:r w:rsidR="00754A0C" w:rsidRPr="00254197">
        <w:rPr>
          <w:rFonts w:ascii="GHEA Grapalat" w:hAnsi="GHEA Grapalat"/>
          <w:color w:val="000000"/>
          <w:sz w:val="24"/>
          <w:szCs w:val="24"/>
          <w:shd w:val="clear" w:color="auto" w:fill="FFFFFF"/>
          <w:lang w:val="hy-AM"/>
        </w:rPr>
        <w:t xml:space="preserve">իմք ընդունելով </w:t>
      </w:r>
      <w:r w:rsidR="00B923D7" w:rsidRPr="00254197">
        <w:rPr>
          <w:rFonts w:ascii="GHEA Grapalat" w:hAnsi="GHEA Grapalat"/>
          <w:color w:val="000000"/>
          <w:sz w:val="24"/>
          <w:szCs w:val="24"/>
          <w:shd w:val="clear" w:color="auto" w:fill="FFFFFF"/>
          <w:lang w:val="hy-AM"/>
        </w:rPr>
        <w:t xml:space="preserve">հիշյալ </w:t>
      </w:r>
      <w:r w:rsidR="00754A0C" w:rsidRPr="00254197">
        <w:rPr>
          <w:rFonts w:ascii="GHEA Grapalat" w:hAnsi="GHEA Grapalat"/>
          <w:color w:val="000000"/>
          <w:sz w:val="24"/>
          <w:szCs w:val="24"/>
          <w:shd w:val="clear" w:color="auto" w:fill="FFFFFF"/>
          <w:lang w:val="hy-AM"/>
        </w:rPr>
        <w:t>ոլորտ</w:t>
      </w:r>
      <w:r w:rsidR="00616E02" w:rsidRPr="00254197">
        <w:rPr>
          <w:rFonts w:ascii="GHEA Grapalat" w:hAnsi="GHEA Grapalat"/>
          <w:color w:val="000000"/>
          <w:sz w:val="24"/>
          <w:szCs w:val="24"/>
          <w:shd w:val="clear" w:color="auto" w:fill="FFFFFF"/>
          <w:lang w:val="hy-AM"/>
        </w:rPr>
        <w:t>ներ</w:t>
      </w:r>
      <w:r w:rsidR="00B923D7" w:rsidRPr="00254197">
        <w:rPr>
          <w:rFonts w:ascii="GHEA Grapalat" w:hAnsi="GHEA Grapalat"/>
          <w:color w:val="000000"/>
          <w:sz w:val="24"/>
          <w:szCs w:val="24"/>
          <w:shd w:val="clear" w:color="auto" w:fill="FFFFFF"/>
          <w:lang w:val="hy-AM"/>
        </w:rPr>
        <w:t>ի</w:t>
      </w:r>
      <w:r w:rsidR="00754A0C" w:rsidRPr="00254197">
        <w:rPr>
          <w:rFonts w:ascii="GHEA Grapalat" w:hAnsi="GHEA Grapalat"/>
          <w:color w:val="000000"/>
          <w:sz w:val="24"/>
          <w:szCs w:val="24"/>
          <w:shd w:val="clear" w:color="auto" w:fill="FFFFFF"/>
          <w:lang w:val="hy-AM"/>
        </w:rPr>
        <w:t xml:space="preserve"> </w:t>
      </w:r>
      <w:proofErr w:type="spellStart"/>
      <w:r w:rsidR="00754A0C" w:rsidRPr="00254197">
        <w:rPr>
          <w:rFonts w:ascii="GHEA Grapalat" w:hAnsi="GHEA Grapalat"/>
          <w:color w:val="000000"/>
          <w:sz w:val="24"/>
          <w:szCs w:val="24"/>
          <w:shd w:val="clear" w:color="auto" w:fill="FFFFFF"/>
          <w:lang w:val="hy-AM"/>
        </w:rPr>
        <w:t>կարևորությունն</w:t>
      </w:r>
      <w:proofErr w:type="spellEnd"/>
      <w:r w:rsidR="00754A0C" w:rsidRPr="00254197">
        <w:rPr>
          <w:rFonts w:ascii="GHEA Grapalat" w:hAnsi="GHEA Grapalat"/>
          <w:color w:val="000000"/>
          <w:sz w:val="24"/>
          <w:szCs w:val="24"/>
          <w:shd w:val="clear" w:color="auto" w:fill="FFFFFF"/>
          <w:lang w:val="hy-AM"/>
        </w:rPr>
        <w:t xml:space="preserve"> ու վտանգավորությունը` ըստ տվյալ գործունեությունից առաջացող հնարավոր բացասական </w:t>
      </w:r>
      <w:proofErr w:type="spellStart"/>
      <w:r w:rsidR="00754A0C" w:rsidRPr="00254197">
        <w:rPr>
          <w:rFonts w:ascii="GHEA Grapalat" w:hAnsi="GHEA Grapalat"/>
          <w:color w:val="000000"/>
          <w:sz w:val="24"/>
          <w:szCs w:val="24"/>
          <w:shd w:val="clear" w:color="auto" w:fill="FFFFFF"/>
          <w:lang w:val="hy-AM"/>
        </w:rPr>
        <w:t>հետևանքների</w:t>
      </w:r>
      <w:proofErr w:type="spellEnd"/>
      <w:r w:rsidR="00754A0C" w:rsidRPr="00254197">
        <w:rPr>
          <w:rFonts w:ascii="GHEA Grapalat" w:hAnsi="GHEA Grapalat"/>
          <w:color w:val="000000"/>
          <w:sz w:val="24"/>
          <w:szCs w:val="24"/>
          <w:shd w:val="clear" w:color="auto" w:fill="FFFFFF"/>
          <w:lang w:val="hy-AM"/>
        </w:rPr>
        <w:t>։</w:t>
      </w:r>
      <w:r w:rsidR="00787CEE" w:rsidRPr="00254197">
        <w:rPr>
          <w:rFonts w:ascii="GHEA Grapalat" w:hAnsi="GHEA Grapalat"/>
          <w:color w:val="000000"/>
          <w:sz w:val="24"/>
          <w:szCs w:val="24"/>
          <w:shd w:val="clear" w:color="auto" w:fill="FFFFFF"/>
          <w:lang w:val="hy-AM"/>
        </w:rPr>
        <w:t xml:space="preserve"> </w:t>
      </w:r>
    </w:p>
    <w:p w14:paraId="146BF357" w14:textId="00DDFBD4" w:rsidR="006548A2" w:rsidRPr="00254197" w:rsidRDefault="00B923D7" w:rsidP="006548A2">
      <w:pPr>
        <w:pStyle w:val="ListParagraph"/>
        <w:spacing w:line="360" w:lineRule="auto"/>
        <w:ind w:left="0" w:right="-151" w:firstLine="567"/>
        <w:jc w:val="both"/>
        <w:rPr>
          <w:rFonts w:ascii="GHEA Grapalat" w:hAnsi="GHEA Grapalat" w:cs="Arial"/>
          <w:color w:val="000000"/>
          <w:sz w:val="24"/>
          <w:szCs w:val="24"/>
          <w:lang w:val="hy-AM" w:eastAsia="en-US"/>
        </w:rPr>
      </w:pPr>
      <w:r w:rsidRPr="00254197">
        <w:rPr>
          <w:rFonts w:ascii="GHEA Grapalat" w:hAnsi="GHEA Grapalat" w:cs="Arial"/>
          <w:color w:val="000000"/>
          <w:sz w:val="24"/>
          <w:szCs w:val="24"/>
          <w:lang w:val="hy-AM" w:eastAsia="en-US"/>
        </w:rPr>
        <w:t xml:space="preserve">Ավելին, </w:t>
      </w:r>
      <w:r w:rsidR="00E76E79" w:rsidRPr="00254197">
        <w:rPr>
          <w:rFonts w:ascii="GHEA Grapalat" w:hAnsi="GHEA Grapalat" w:cs="Arial"/>
          <w:color w:val="000000"/>
          <w:sz w:val="24"/>
          <w:szCs w:val="24"/>
          <w:lang w:val="hy-AM" w:eastAsia="en-US"/>
        </w:rPr>
        <w:t xml:space="preserve">«Թմրամիջոցների և </w:t>
      </w:r>
      <w:proofErr w:type="spellStart"/>
      <w:r w:rsidR="00E76E79" w:rsidRPr="00254197">
        <w:rPr>
          <w:rFonts w:ascii="GHEA Grapalat" w:hAnsi="GHEA Grapalat" w:cs="Arial"/>
          <w:color w:val="000000"/>
          <w:sz w:val="24"/>
          <w:szCs w:val="24"/>
          <w:lang w:val="hy-AM" w:eastAsia="en-US"/>
        </w:rPr>
        <w:t>հոգեմետ</w:t>
      </w:r>
      <w:proofErr w:type="spellEnd"/>
      <w:r w:rsidR="00E76E79" w:rsidRPr="00254197">
        <w:rPr>
          <w:rFonts w:ascii="GHEA Grapalat" w:hAnsi="GHEA Grapalat" w:cs="Arial"/>
          <w:color w:val="000000"/>
          <w:sz w:val="24"/>
          <w:szCs w:val="24"/>
          <w:lang w:val="hy-AM" w:eastAsia="en-US"/>
        </w:rPr>
        <w:t xml:space="preserve"> (</w:t>
      </w:r>
      <w:proofErr w:type="spellStart"/>
      <w:r w:rsidR="00E76E79" w:rsidRPr="00254197">
        <w:rPr>
          <w:rFonts w:ascii="GHEA Grapalat" w:hAnsi="GHEA Grapalat" w:cs="Arial"/>
          <w:color w:val="000000"/>
          <w:sz w:val="24"/>
          <w:szCs w:val="24"/>
          <w:lang w:val="hy-AM" w:eastAsia="en-US"/>
        </w:rPr>
        <w:t>հոգեներգործուն</w:t>
      </w:r>
      <w:proofErr w:type="spellEnd"/>
      <w:r w:rsidR="00E76E79" w:rsidRPr="00254197">
        <w:rPr>
          <w:rFonts w:ascii="GHEA Grapalat" w:hAnsi="GHEA Grapalat" w:cs="Arial"/>
          <w:color w:val="000000"/>
          <w:sz w:val="24"/>
          <w:szCs w:val="24"/>
          <w:lang w:val="hy-AM" w:eastAsia="en-US"/>
        </w:rPr>
        <w:t>) նյութերի մասին» օրենքի 45.8-րդ հոդվածի համաձայն</w:t>
      </w:r>
      <w:r w:rsidR="00787CEE" w:rsidRPr="00254197">
        <w:rPr>
          <w:rFonts w:ascii="GHEA Grapalat" w:hAnsi="GHEA Grapalat" w:cs="Arial"/>
          <w:color w:val="000000"/>
          <w:sz w:val="24"/>
          <w:szCs w:val="24"/>
          <w:lang w:val="hy-AM" w:eastAsia="en-US"/>
        </w:rPr>
        <w:t xml:space="preserve">՝ Տեսչական մարմնին </w:t>
      </w:r>
      <w:r w:rsidRPr="00254197">
        <w:rPr>
          <w:rFonts w:ascii="GHEA Grapalat" w:hAnsi="GHEA Grapalat" w:cs="Arial"/>
          <w:color w:val="000000"/>
          <w:sz w:val="24"/>
          <w:szCs w:val="24"/>
          <w:lang w:val="hy-AM" w:eastAsia="en-US"/>
        </w:rPr>
        <w:t xml:space="preserve">է </w:t>
      </w:r>
      <w:r w:rsidR="00787CEE" w:rsidRPr="00254197">
        <w:rPr>
          <w:rFonts w:ascii="GHEA Grapalat" w:hAnsi="GHEA Grapalat" w:cs="Arial"/>
          <w:color w:val="000000"/>
          <w:sz w:val="24"/>
          <w:szCs w:val="24"/>
          <w:lang w:val="hy-AM" w:eastAsia="en-US"/>
        </w:rPr>
        <w:t xml:space="preserve">վերապահվել նաև արտադրական կանեփի արտադրության, արտահանման, ներմուծման և մեծածախ </w:t>
      </w:r>
      <w:proofErr w:type="spellStart"/>
      <w:r w:rsidR="00787CEE" w:rsidRPr="00254197">
        <w:rPr>
          <w:rFonts w:ascii="GHEA Grapalat" w:hAnsi="GHEA Grapalat" w:cs="Arial"/>
          <w:color w:val="000000"/>
          <w:sz w:val="24"/>
          <w:szCs w:val="24"/>
          <w:lang w:val="hy-AM" w:eastAsia="en-US"/>
        </w:rPr>
        <w:t>առևտրի</w:t>
      </w:r>
      <w:proofErr w:type="spellEnd"/>
      <w:r w:rsidR="00787CEE" w:rsidRPr="00254197">
        <w:rPr>
          <w:rFonts w:ascii="GHEA Grapalat" w:hAnsi="GHEA Grapalat" w:cs="Arial"/>
          <w:color w:val="000000"/>
          <w:sz w:val="24"/>
          <w:szCs w:val="24"/>
          <w:lang w:val="hy-AM" w:eastAsia="en-US"/>
        </w:rPr>
        <w:t xml:space="preserve"> լիցենզավորման</w:t>
      </w:r>
      <w:r w:rsidR="00254197" w:rsidRPr="00254197">
        <w:rPr>
          <w:rFonts w:ascii="GHEA Grapalat" w:hAnsi="GHEA Grapalat" w:cs="Arial"/>
          <w:color w:val="000000"/>
          <w:sz w:val="24"/>
          <w:szCs w:val="24"/>
          <w:lang w:val="hy-AM" w:eastAsia="en-US"/>
        </w:rPr>
        <w:t xml:space="preserve"> </w:t>
      </w:r>
      <w:r w:rsidR="00787CEE" w:rsidRPr="00254197">
        <w:rPr>
          <w:rFonts w:ascii="GHEA Grapalat" w:hAnsi="GHEA Grapalat" w:cs="Arial"/>
          <w:color w:val="000000"/>
          <w:sz w:val="24"/>
          <w:szCs w:val="24"/>
          <w:lang w:val="hy-AM" w:eastAsia="en-US"/>
        </w:rPr>
        <w:t>պահանջների</w:t>
      </w:r>
      <w:r w:rsidR="00254197" w:rsidRPr="00254197">
        <w:rPr>
          <w:rFonts w:ascii="GHEA Grapalat" w:hAnsi="GHEA Grapalat" w:cs="Arial"/>
          <w:color w:val="000000"/>
          <w:sz w:val="24"/>
          <w:szCs w:val="24"/>
          <w:lang w:val="hy-AM" w:eastAsia="en-US"/>
        </w:rPr>
        <w:t xml:space="preserve"> </w:t>
      </w:r>
      <w:r w:rsidR="00787CEE" w:rsidRPr="00254197">
        <w:rPr>
          <w:rFonts w:ascii="GHEA Grapalat" w:hAnsi="GHEA Grapalat" w:cs="Arial"/>
          <w:color w:val="000000"/>
          <w:sz w:val="24"/>
          <w:szCs w:val="24"/>
          <w:lang w:val="hy-AM" w:eastAsia="en-US"/>
        </w:rPr>
        <w:t>պահպանման նկատմամբ վերահսկողությունը, որն արդյունավետ իրականացնելու համար նույնպես անհրաժեշտ է սահմանել ոլորտի ռիսկայնությունը՝ ըստ ցուցանիշների</w:t>
      </w:r>
      <w:r w:rsidR="006548A2" w:rsidRPr="00254197">
        <w:rPr>
          <w:rFonts w:ascii="GHEA Grapalat" w:hAnsi="GHEA Grapalat" w:cs="Arial"/>
          <w:color w:val="000000"/>
          <w:sz w:val="24"/>
          <w:szCs w:val="24"/>
          <w:lang w:val="hy-AM" w:eastAsia="en-US"/>
        </w:rPr>
        <w:t>:</w:t>
      </w:r>
    </w:p>
    <w:p w14:paraId="0C6310D3" w14:textId="51CF6E0F" w:rsidR="00E76E79" w:rsidRPr="00254197" w:rsidRDefault="005A0DC3" w:rsidP="006548A2">
      <w:pPr>
        <w:pStyle w:val="ListParagraph"/>
        <w:spacing w:line="360" w:lineRule="auto"/>
        <w:ind w:left="0" w:right="-151" w:firstLine="567"/>
        <w:jc w:val="both"/>
        <w:rPr>
          <w:rFonts w:ascii="GHEA Grapalat" w:hAnsi="GHEA Grapalat" w:cs="Arial"/>
          <w:color w:val="000000"/>
          <w:sz w:val="24"/>
          <w:szCs w:val="24"/>
          <w:lang w:val="hy-AM" w:eastAsia="en-US"/>
        </w:rPr>
      </w:pPr>
      <w:r w:rsidRPr="00254197">
        <w:rPr>
          <w:rFonts w:ascii="GHEA Grapalat" w:hAnsi="GHEA Grapalat" w:cs="Arial"/>
          <w:color w:val="000000"/>
          <w:sz w:val="24"/>
          <w:szCs w:val="24"/>
          <w:lang w:val="hy-AM" w:eastAsia="en-US"/>
        </w:rPr>
        <w:t xml:space="preserve"> </w:t>
      </w:r>
      <w:r w:rsidR="006548A2" w:rsidRPr="00254197">
        <w:rPr>
          <w:rFonts w:ascii="GHEA Grapalat" w:hAnsi="GHEA Grapalat" w:cs="Arial"/>
          <w:color w:val="000000"/>
          <w:sz w:val="24"/>
          <w:szCs w:val="24"/>
          <w:lang w:val="hy-AM" w:eastAsia="en-US"/>
        </w:rPr>
        <w:t>Միաժամանակ,</w:t>
      </w:r>
      <w:r w:rsidRPr="00254197">
        <w:rPr>
          <w:rFonts w:ascii="GHEA Grapalat" w:hAnsi="GHEA Grapalat" w:cs="Arial"/>
          <w:color w:val="000000"/>
          <w:sz w:val="24"/>
          <w:szCs w:val="24"/>
          <w:lang w:val="hy-AM" w:eastAsia="en-US"/>
        </w:rPr>
        <w:t xml:space="preserve"> հիմք ընդունելով</w:t>
      </w:r>
      <w:r w:rsidR="00DF78F3" w:rsidRPr="00254197">
        <w:rPr>
          <w:rFonts w:ascii="GHEA Grapalat" w:hAnsi="GHEA Grapalat" w:cs="Arial"/>
          <w:color w:val="000000"/>
          <w:sz w:val="24"/>
          <w:szCs w:val="24"/>
          <w:lang w:val="hy-AM" w:eastAsia="en-US"/>
        </w:rPr>
        <w:t xml:space="preserve"> </w:t>
      </w:r>
      <w:r w:rsidRPr="00254197">
        <w:rPr>
          <w:rFonts w:ascii="GHEA Grapalat" w:hAnsi="GHEA Grapalat" w:cs="Arial"/>
          <w:color w:val="000000"/>
          <w:sz w:val="24"/>
          <w:szCs w:val="24"/>
          <w:lang w:val="hy-AM" w:eastAsia="en-US"/>
        </w:rPr>
        <w:t>տվյալ գործունեությունից առաջացո</w:t>
      </w:r>
      <w:r w:rsidR="006548A2" w:rsidRPr="00254197">
        <w:rPr>
          <w:rFonts w:ascii="GHEA Grapalat" w:hAnsi="GHEA Grapalat" w:cs="Arial"/>
          <w:color w:val="000000"/>
          <w:sz w:val="24"/>
          <w:szCs w:val="24"/>
          <w:lang w:val="hy-AM" w:eastAsia="en-US"/>
        </w:rPr>
        <w:t xml:space="preserve">ղ հնարավոր բացասական </w:t>
      </w:r>
      <w:proofErr w:type="spellStart"/>
      <w:r w:rsidR="006548A2" w:rsidRPr="00254197">
        <w:rPr>
          <w:rFonts w:ascii="GHEA Grapalat" w:hAnsi="GHEA Grapalat" w:cs="Arial"/>
          <w:color w:val="000000"/>
          <w:sz w:val="24"/>
          <w:szCs w:val="24"/>
          <w:lang w:val="hy-AM" w:eastAsia="en-US"/>
        </w:rPr>
        <w:t>հետևանքների</w:t>
      </w:r>
      <w:proofErr w:type="spellEnd"/>
      <w:r w:rsidR="00B923D7" w:rsidRPr="00254197">
        <w:rPr>
          <w:rFonts w:ascii="GHEA Grapalat" w:hAnsi="GHEA Grapalat" w:cs="Arial"/>
          <w:color w:val="000000"/>
          <w:sz w:val="24"/>
          <w:szCs w:val="24"/>
          <w:lang w:val="hy-AM" w:eastAsia="en-US"/>
        </w:rPr>
        <w:t>՝</w:t>
      </w:r>
      <w:r w:rsidRPr="00254197">
        <w:rPr>
          <w:rFonts w:ascii="GHEA Grapalat" w:hAnsi="GHEA Grapalat" w:cs="Arial"/>
          <w:color w:val="000000"/>
          <w:sz w:val="24"/>
          <w:szCs w:val="24"/>
          <w:lang w:val="hy-AM" w:eastAsia="en-US"/>
        </w:rPr>
        <w:t xml:space="preserve"> տնտեսավարող սուբյեկտի գործունեության ոլորտի </w:t>
      </w:r>
      <w:proofErr w:type="spellStart"/>
      <w:r w:rsidRPr="00254197">
        <w:rPr>
          <w:rFonts w:ascii="GHEA Grapalat" w:hAnsi="GHEA Grapalat" w:cs="Arial"/>
          <w:color w:val="000000"/>
          <w:sz w:val="24"/>
          <w:szCs w:val="24"/>
          <w:lang w:val="hy-AM" w:eastAsia="en-US"/>
        </w:rPr>
        <w:t>կարևորությունն</w:t>
      </w:r>
      <w:proofErr w:type="spellEnd"/>
      <w:r w:rsidRPr="00254197">
        <w:rPr>
          <w:rFonts w:ascii="GHEA Grapalat" w:hAnsi="GHEA Grapalat" w:cs="Arial"/>
          <w:color w:val="000000"/>
          <w:sz w:val="24"/>
          <w:szCs w:val="24"/>
          <w:lang w:val="hy-AM" w:eastAsia="en-US"/>
        </w:rPr>
        <w:t xml:space="preserve"> ու վտան</w:t>
      </w:r>
      <w:r w:rsidR="006548A2" w:rsidRPr="00254197">
        <w:rPr>
          <w:rFonts w:ascii="GHEA Grapalat" w:hAnsi="GHEA Grapalat" w:cs="Arial"/>
          <w:color w:val="000000"/>
          <w:sz w:val="24"/>
          <w:szCs w:val="24"/>
          <w:lang w:val="hy-AM" w:eastAsia="en-US"/>
        </w:rPr>
        <w:t>գավորությունը և</w:t>
      </w:r>
      <w:r w:rsidR="00B923D7" w:rsidRPr="00254197">
        <w:rPr>
          <w:rFonts w:ascii="GHEA Grapalat" w:hAnsi="GHEA Grapalat" w:cs="Arial"/>
          <w:color w:val="000000"/>
          <w:sz w:val="24"/>
          <w:szCs w:val="24"/>
          <w:lang w:val="hy-AM" w:eastAsia="en-US"/>
        </w:rPr>
        <w:t xml:space="preserve"> </w:t>
      </w:r>
      <w:r w:rsidR="00DF78F3" w:rsidRPr="00254197">
        <w:rPr>
          <w:rFonts w:ascii="GHEA Grapalat" w:hAnsi="GHEA Grapalat" w:cs="Arial"/>
          <w:color w:val="000000"/>
          <w:sz w:val="24"/>
          <w:szCs w:val="24"/>
          <w:lang w:val="hy-AM" w:eastAsia="en-US"/>
        </w:rPr>
        <w:t>Տ</w:t>
      </w:r>
      <w:r w:rsidR="006548A2" w:rsidRPr="00254197">
        <w:rPr>
          <w:rFonts w:ascii="GHEA Grapalat" w:hAnsi="GHEA Grapalat" w:cs="Arial"/>
          <w:color w:val="000000"/>
          <w:sz w:val="24"/>
          <w:szCs w:val="24"/>
          <w:lang w:val="hy-AM" w:eastAsia="en-US"/>
        </w:rPr>
        <w:t xml:space="preserve">եսչական մարմնի կողմից հսկման ենթակա ոլորտների տեխնիկական </w:t>
      </w:r>
      <w:proofErr w:type="spellStart"/>
      <w:r w:rsidR="006548A2" w:rsidRPr="00254197">
        <w:rPr>
          <w:rFonts w:ascii="GHEA Grapalat" w:hAnsi="GHEA Grapalat" w:cs="Arial"/>
          <w:color w:val="000000"/>
          <w:sz w:val="24"/>
          <w:szCs w:val="24"/>
          <w:lang w:val="hy-AM" w:eastAsia="en-US"/>
        </w:rPr>
        <w:t>կանոնակարգերի</w:t>
      </w:r>
      <w:proofErr w:type="spellEnd"/>
      <w:r w:rsidR="006548A2" w:rsidRPr="00254197">
        <w:rPr>
          <w:rFonts w:ascii="GHEA Grapalat" w:hAnsi="GHEA Grapalat" w:cs="Arial"/>
          <w:color w:val="000000"/>
          <w:sz w:val="24"/>
          <w:szCs w:val="24"/>
          <w:lang w:val="hy-AM" w:eastAsia="en-US"/>
        </w:rPr>
        <w:t xml:space="preserve"> պահանջները, ինչպես նաև հավանական վնաս առաջացնող գործոնների ազդեցությունը և վնասի աստիճանը</w:t>
      </w:r>
      <w:r w:rsidR="00787CEE" w:rsidRPr="00254197">
        <w:rPr>
          <w:rFonts w:ascii="GHEA Grapalat" w:hAnsi="GHEA Grapalat" w:cs="Arial"/>
          <w:color w:val="000000"/>
          <w:sz w:val="24"/>
          <w:szCs w:val="24"/>
          <w:lang w:val="hy-AM" w:eastAsia="en-US"/>
        </w:rPr>
        <w:t>՝</w:t>
      </w:r>
      <w:r w:rsidR="006548A2" w:rsidRPr="00254197">
        <w:rPr>
          <w:rFonts w:ascii="GHEA Grapalat" w:hAnsi="GHEA Grapalat" w:cs="Arial"/>
          <w:color w:val="000000"/>
          <w:sz w:val="24"/>
          <w:szCs w:val="24"/>
          <w:lang w:val="hy-AM" w:eastAsia="en-US"/>
        </w:rPr>
        <w:t xml:space="preserve"> անհրաժեշտություն է առաջացել ներկայումս գործող ՀՀ կառավարության 2019 թվականի նոյեմբերի 14-ի N 1570-Ն որոշման մեջ համակարգել ոլորտային ռիսկի գնահատման ցուցանիշները:</w:t>
      </w:r>
    </w:p>
    <w:p w14:paraId="7948FA7A" w14:textId="09063931" w:rsidR="00385A5B" w:rsidRPr="00254197" w:rsidRDefault="006A6DDE" w:rsidP="00385A5B">
      <w:pPr>
        <w:pStyle w:val="ListParagraph"/>
        <w:spacing w:line="360" w:lineRule="auto"/>
        <w:ind w:left="0" w:right="-151" w:firstLine="567"/>
        <w:jc w:val="both"/>
        <w:rPr>
          <w:rFonts w:ascii="GHEA Grapalat" w:hAnsi="GHEA Grapalat" w:cs="Arial"/>
          <w:color w:val="000000"/>
          <w:sz w:val="24"/>
          <w:szCs w:val="24"/>
          <w:lang w:val="hy-AM" w:eastAsia="en-US"/>
        </w:rPr>
      </w:pPr>
      <w:r w:rsidRPr="00254197">
        <w:rPr>
          <w:rFonts w:ascii="GHEA Grapalat" w:hAnsi="GHEA Grapalat" w:cs="Arial"/>
          <w:color w:val="000000"/>
          <w:sz w:val="24"/>
          <w:szCs w:val="24"/>
          <w:lang w:val="hy-AM" w:eastAsia="en-US"/>
        </w:rPr>
        <w:t>Անհրաժեշտ</w:t>
      </w:r>
      <w:r w:rsidR="006548A2" w:rsidRPr="00254197">
        <w:rPr>
          <w:rFonts w:ascii="GHEA Grapalat" w:hAnsi="GHEA Grapalat" w:cs="Arial"/>
          <w:color w:val="000000"/>
          <w:sz w:val="24"/>
          <w:szCs w:val="24"/>
          <w:lang w:val="hy-AM" w:eastAsia="en-US"/>
        </w:rPr>
        <w:t xml:space="preserve"> է նաև </w:t>
      </w:r>
      <w:r w:rsidR="006548A2" w:rsidRPr="00254197">
        <w:rPr>
          <w:rFonts w:ascii="GHEA Grapalat" w:hAnsi="GHEA Grapalat"/>
          <w:color w:val="000000"/>
          <w:sz w:val="24"/>
          <w:szCs w:val="24"/>
          <w:shd w:val="clear" w:color="auto" w:fill="FFFFFF"/>
          <w:lang w:val="hy-AM"/>
        </w:rPr>
        <w:t>տնտեսավարող սուբյեկտի գործունեության վերլուծության աղյուսակում</w:t>
      </w:r>
      <w:r w:rsidRPr="00254197">
        <w:rPr>
          <w:rFonts w:ascii="GHEA Grapalat" w:hAnsi="GHEA Grapalat"/>
          <w:color w:val="000000"/>
          <w:sz w:val="24"/>
          <w:szCs w:val="24"/>
          <w:shd w:val="clear" w:color="auto" w:fill="FFFFFF"/>
          <w:lang w:val="hy-AM"/>
        </w:rPr>
        <w:t xml:space="preserve"> որպես առանձին ցուցանիշներ առանձնացնել «արտադրող երկ</w:t>
      </w:r>
      <w:r w:rsidR="00254197" w:rsidRPr="00254197">
        <w:rPr>
          <w:rFonts w:ascii="GHEA Grapalat" w:hAnsi="GHEA Grapalat"/>
          <w:color w:val="000000"/>
          <w:sz w:val="24"/>
          <w:szCs w:val="24"/>
          <w:shd w:val="clear" w:color="auto" w:fill="FFFFFF"/>
          <w:lang w:val="hy-AM"/>
        </w:rPr>
        <w:t>ի</w:t>
      </w:r>
      <w:r w:rsidRPr="00254197">
        <w:rPr>
          <w:rFonts w:ascii="GHEA Grapalat" w:hAnsi="GHEA Grapalat"/>
          <w:color w:val="000000"/>
          <w:sz w:val="24"/>
          <w:szCs w:val="24"/>
          <w:shd w:val="clear" w:color="auto" w:fill="FFFFFF"/>
          <w:lang w:val="hy-AM"/>
        </w:rPr>
        <w:t>ր» և «անվտանգության և որակի համակարգ» սահմանումները</w:t>
      </w:r>
      <w:r w:rsidR="00B923D7" w:rsidRPr="00254197">
        <w:rPr>
          <w:rFonts w:ascii="GHEA Grapalat" w:hAnsi="GHEA Grapalat"/>
          <w:color w:val="000000"/>
          <w:sz w:val="24"/>
          <w:szCs w:val="24"/>
          <w:shd w:val="clear" w:color="auto" w:fill="FFFFFF"/>
          <w:lang w:val="hy-AM"/>
        </w:rPr>
        <w:t>՝</w:t>
      </w:r>
      <w:r w:rsidRPr="00254197">
        <w:rPr>
          <w:rFonts w:ascii="GHEA Grapalat" w:hAnsi="GHEA Grapalat"/>
          <w:color w:val="000000"/>
          <w:sz w:val="24"/>
          <w:szCs w:val="24"/>
          <w:shd w:val="clear" w:color="auto" w:fill="FFFFFF"/>
          <w:lang w:val="hy-AM"/>
        </w:rPr>
        <w:t xml:space="preserve"> որպես առանձին ռիսկ առաջացնող գործոններ:</w:t>
      </w:r>
    </w:p>
    <w:p w14:paraId="0566445A" w14:textId="77777777" w:rsidR="003E22A9" w:rsidRPr="00254197" w:rsidRDefault="003E22A9" w:rsidP="00385A5B">
      <w:pPr>
        <w:pStyle w:val="ListParagraph"/>
        <w:spacing w:line="360" w:lineRule="auto"/>
        <w:ind w:left="0" w:right="-151" w:firstLine="567"/>
        <w:jc w:val="both"/>
        <w:rPr>
          <w:rFonts w:ascii="GHEA Grapalat" w:hAnsi="GHEA Grapalat"/>
          <w:b/>
          <w:sz w:val="24"/>
          <w:szCs w:val="24"/>
          <w:lang w:val="hy-AM"/>
        </w:rPr>
      </w:pPr>
    </w:p>
    <w:p w14:paraId="3B34969E" w14:textId="74B2A850" w:rsidR="00AD7DF5" w:rsidRPr="00254197" w:rsidRDefault="009876E7" w:rsidP="00385A5B">
      <w:pPr>
        <w:pStyle w:val="ListParagraph"/>
        <w:spacing w:line="360" w:lineRule="auto"/>
        <w:ind w:left="0" w:right="-151" w:firstLine="567"/>
        <w:jc w:val="both"/>
        <w:rPr>
          <w:rFonts w:ascii="GHEA Grapalat" w:hAnsi="GHEA Grapalat"/>
          <w:b/>
          <w:sz w:val="24"/>
          <w:szCs w:val="24"/>
          <w:lang w:val="hy-AM"/>
        </w:rPr>
      </w:pPr>
      <w:r w:rsidRPr="00254197">
        <w:rPr>
          <w:rFonts w:ascii="GHEA Grapalat" w:hAnsi="GHEA Grapalat"/>
          <w:b/>
          <w:sz w:val="24"/>
          <w:szCs w:val="24"/>
          <w:lang w:val="hy-AM"/>
        </w:rPr>
        <w:t>2</w:t>
      </w:r>
      <w:r w:rsidR="00725ACD" w:rsidRPr="00254197">
        <w:rPr>
          <w:rFonts w:ascii="GHEA Grapalat" w:hAnsi="GHEA Grapalat"/>
          <w:b/>
          <w:sz w:val="24"/>
          <w:szCs w:val="24"/>
          <w:lang w:val="hy-AM"/>
        </w:rPr>
        <w:t xml:space="preserve">. </w:t>
      </w:r>
      <w:r w:rsidR="0097264F" w:rsidRPr="00254197">
        <w:rPr>
          <w:rFonts w:ascii="GHEA Grapalat" w:hAnsi="GHEA Grapalat"/>
          <w:b/>
          <w:sz w:val="24"/>
          <w:szCs w:val="24"/>
          <w:lang w:val="hy-AM"/>
        </w:rPr>
        <w:t xml:space="preserve">Առկա </w:t>
      </w:r>
      <w:r w:rsidR="00AD7DF5" w:rsidRPr="00254197">
        <w:rPr>
          <w:rFonts w:ascii="GHEA Grapalat" w:hAnsi="GHEA Grapalat"/>
          <w:b/>
          <w:sz w:val="24"/>
          <w:szCs w:val="24"/>
          <w:lang w:val="hy-AM"/>
        </w:rPr>
        <w:t>իրավիճակը</w:t>
      </w:r>
      <w:r w:rsidR="001164FB" w:rsidRPr="00254197">
        <w:rPr>
          <w:rFonts w:ascii="GHEA Grapalat" w:hAnsi="GHEA Grapalat"/>
          <w:b/>
          <w:sz w:val="24"/>
          <w:szCs w:val="24"/>
          <w:lang w:val="hy-AM"/>
        </w:rPr>
        <w:t>.</w:t>
      </w:r>
    </w:p>
    <w:p w14:paraId="1A841CD2" w14:textId="37B02EBD" w:rsidR="00AE29C2" w:rsidRPr="00254197" w:rsidRDefault="00FE4ABF" w:rsidP="00935824">
      <w:pPr>
        <w:spacing w:line="360" w:lineRule="auto"/>
        <w:ind w:right="-151" w:firstLine="567"/>
        <w:jc w:val="both"/>
        <w:rPr>
          <w:rFonts w:ascii="GHEA Grapalat" w:hAnsi="GHEA Grapalat"/>
          <w:lang w:val="hy-AM"/>
        </w:rPr>
      </w:pPr>
      <w:r w:rsidRPr="00254197">
        <w:rPr>
          <w:rFonts w:ascii="GHEA Grapalat" w:hAnsi="GHEA Grapalat" w:cs="Arial"/>
          <w:color w:val="000000"/>
          <w:lang w:val="hy-AM" w:eastAsia="en-US"/>
        </w:rPr>
        <w:t xml:space="preserve"> Ներկայումս, ՀՀ կառավարության 2019 թվականի նոյեմբերի 14-ի N 1570-Ն որոշման համաձայն</w:t>
      </w:r>
      <w:r w:rsidR="0037234D" w:rsidRPr="00254197">
        <w:rPr>
          <w:rFonts w:ascii="GHEA Grapalat" w:hAnsi="GHEA Grapalat" w:cs="Arial"/>
          <w:color w:val="000000"/>
          <w:lang w:val="hy-AM" w:eastAsia="en-US"/>
        </w:rPr>
        <w:t>՝</w:t>
      </w:r>
      <w:r w:rsidRPr="00254197">
        <w:rPr>
          <w:rFonts w:ascii="GHEA Grapalat" w:hAnsi="GHEA Grapalat" w:cs="Arial"/>
          <w:color w:val="000000"/>
          <w:lang w:val="hy-AM" w:eastAsia="en-US"/>
        </w:rPr>
        <w:t xml:space="preserve"> </w:t>
      </w:r>
      <w:r w:rsidR="00385A5B" w:rsidRPr="00254197">
        <w:rPr>
          <w:rStyle w:val="Strong"/>
          <w:rFonts w:ascii="GHEA Grapalat" w:hAnsi="GHEA Grapalat"/>
          <w:b w:val="0"/>
          <w:lang w:val="hy-AM"/>
        </w:rPr>
        <w:t>Տ</w:t>
      </w:r>
      <w:r w:rsidRPr="00254197">
        <w:rPr>
          <w:rStyle w:val="Strong"/>
          <w:rFonts w:ascii="GHEA Grapalat" w:hAnsi="GHEA Grapalat"/>
          <w:b w:val="0"/>
          <w:lang w:val="hy-AM"/>
        </w:rPr>
        <w:t>եսչական մարմինը պետական վերահսկողության արդյունքում իրականացվող ստուգումների պարբերականությունը պլանավորում է</w:t>
      </w:r>
      <w:r w:rsidR="0037234D" w:rsidRPr="00254197">
        <w:rPr>
          <w:rStyle w:val="Strong"/>
          <w:rFonts w:ascii="GHEA Grapalat" w:hAnsi="GHEA Grapalat"/>
          <w:b w:val="0"/>
          <w:lang w:val="hy-AM"/>
        </w:rPr>
        <w:t>՝</w:t>
      </w:r>
      <w:r w:rsidRPr="00254197">
        <w:rPr>
          <w:rStyle w:val="Strong"/>
          <w:rFonts w:ascii="GHEA Grapalat" w:hAnsi="GHEA Grapalat"/>
          <w:b w:val="0"/>
          <w:lang w:val="hy-AM"/>
        </w:rPr>
        <w:t xml:space="preserve"> հիմք ընդունելով </w:t>
      </w:r>
      <w:r w:rsidRPr="00254197">
        <w:rPr>
          <w:rFonts w:ascii="GHEA Grapalat" w:hAnsi="GHEA Grapalat"/>
          <w:color w:val="000000"/>
          <w:shd w:val="clear" w:color="auto" w:fill="FFFFFF"/>
          <w:lang w:val="hy-AM"/>
        </w:rPr>
        <w:t xml:space="preserve">տնտեսավարող </w:t>
      </w:r>
      <w:r w:rsidRPr="00254197">
        <w:rPr>
          <w:rFonts w:ascii="GHEA Grapalat" w:hAnsi="GHEA Grapalat"/>
          <w:color w:val="000000"/>
          <w:shd w:val="clear" w:color="auto" w:fill="FFFFFF"/>
          <w:lang w:val="hy-AM"/>
        </w:rPr>
        <w:lastRenderedPageBreak/>
        <w:t>սուբյեկտների ռիսկը, որը</w:t>
      </w:r>
      <w:r w:rsidRPr="00254197">
        <w:rPr>
          <w:rStyle w:val="Strong"/>
          <w:rFonts w:ascii="GHEA Grapalat" w:hAnsi="GHEA Grapalat"/>
          <w:b w:val="0"/>
          <w:lang w:val="hy-AM"/>
        </w:rPr>
        <w:t xml:space="preserve"> </w:t>
      </w:r>
      <w:r w:rsidRPr="00254197">
        <w:rPr>
          <w:rFonts w:ascii="GHEA Grapalat" w:hAnsi="GHEA Grapalat"/>
          <w:color w:val="000000"/>
          <w:shd w:val="clear" w:color="auto" w:fill="FFFFFF"/>
          <w:lang w:val="hy-AM"/>
        </w:rPr>
        <w:t xml:space="preserve">գնահատվում է ոլորտային և անհատական ռիսկերի հանրագումարով։ </w:t>
      </w:r>
      <w:r w:rsidR="00C26237" w:rsidRPr="00254197">
        <w:rPr>
          <w:rFonts w:ascii="GHEA Grapalat" w:hAnsi="GHEA Grapalat"/>
          <w:color w:val="000000"/>
          <w:shd w:val="clear" w:color="auto" w:fill="FFFFFF"/>
          <w:lang w:val="hy-AM"/>
        </w:rPr>
        <w:t>Սակայն</w:t>
      </w:r>
      <w:r w:rsidR="0037234D" w:rsidRPr="00254197">
        <w:rPr>
          <w:rFonts w:ascii="GHEA Grapalat" w:hAnsi="GHEA Grapalat"/>
          <w:color w:val="000000"/>
          <w:shd w:val="clear" w:color="auto" w:fill="FFFFFF"/>
          <w:lang w:val="hy-AM"/>
        </w:rPr>
        <w:t>,</w:t>
      </w:r>
      <w:r w:rsidR="00C26237" w:rsidRPr="00254197">
        <w:rPr>
          <w:rFonts w:ascii="GHEA Grapalat" w:hAnsi="GHEA Grapalat"/>
          <w:color w:val="000000"/>
          <w:shd w:val="clear" w:color="auto" w:fill="FFFFFF"/>
          <w:lang w:val="hy-AM"/>
        </w:rPr>
        <w:t xml:space="preserve"> հաճախ</w:t>
      </w:r>
      <w:r w:rsidR="00B923D7" w:rsidRPr="00254197">
        <w:rPr>
          <w:rFonts w:ascii="GHEA Grapalat" w:hAnsi="GHEA Grapalat"/>
          <w:color w:val="000000"/>
          <w:shd w:val="clear" w:color="auto" w:fill="FFFFFF"/>
          <w:lang w:val="hy-AM"/>
        </w:rPr>
        <w:t>,</w:t>
      </w:r>
      <w:r w:rsidR="00C26237" w:rsidRPr="00254197">
        <w:rPr>
          <w:rFonts w:ascii="GHEA Grapalat" w:hAnsi="GHEA Grapalat"/>
          <w:color w:val="000000"/>
          <w:shd w:val="clear" w:color="auto" w:fill="FFFFFF"/>
          <w:lang w:val="hy-AM"/>
        </w:rPr>
        <w:t xml:space="preserve"> </w:t>
      </w:r>
      <w:proofErr w:type="spellStart"/>
      <w:r w:rsidRPr="00254197">
        <w:rPr>
          <w:rFonts w:ascii="GHEA Grapalat" w:hAnsi="GHEA Grapalat"/>
          <w:color w:val="000000"/>
          <w:shd w:val="clear" w:color="auto" w:fill="FFFFFF"/>
          <w:lang w:val="hy-AM"/>
        </w:rPr>
        <w:t>տնտեսավարողի</w:t>
      </w:r>
      <w:proofErr w:type="spellEnd"/>
      <w:r w:rsidRPr="00254197">
        <w:rPr>
          <w:rFonts w:ascii="GHEA Grapalat" w:hAnsi="GHEA Grapalat"/>
          <w:color w:val="000000"/>
          <w:shd w:val="clear" w:color="auto" w:fill="FFFFFF"/>
          <w:lang w:val="hy-AM"/>
        </w:rPr>
        <w:t xml:space="preserve"> մոտ առաջին անգամ ստուգում իրականացնելու համար ռիսկ հաշվարկելիս</w:t>
      </w:r>
      <w:r w:rsidR="00B923D7" w:rsidRPr="00254197">
        <w:rPr>
          <w:rFonts w:ascii="GHEA Grapalat" w:hAnsi="GHEA Grapalat"/>
          <w:color w:val="000000"/>
          <w:shd w:val="clear" w:color="auto" w:fill="FFFFFF"/>
          <w:lang w:val="hy-AM"/>
        </w:rPr>
        <w:t>,</w:t>
      </w:r>
      <w:r w:rsidRPr="00254197">
        <w:rPr>
          <w:rFonts w:ascii="GHEA Grapalat" w:hAnsi="GHEA Grapalat"/>
          <w:color w:val="000000"/>
          <w:shd w:val="clear" w:color="auto" w:fill="FFFFFF"/>
          <w:lang w:val="hy-AM"/>
        </w:rPr>
        <w:t xml:space="preserve"> առաջանում են մի շարք խնդիրներ, մասնավորապես՝ անհատական ռիսկը  </w:t>
      </w:r>
      <w:r w:rsidRPr="00254197">
        <w:rPr>
          <w:rFonts w:ascii="GHEA Grapalat" w:hAnsi="GHEA Grapalat" w:cs="Arial"/>
          <w:color w:val="000000"/>
          <w:lang w:val="hy-AM" w:eastAsia="en-US"/>
        </w:rPr>
        <w:t xml:space="preserve">զրոյի հավասար  լինելու արդյունքում ստացվում է, որ ստուգված և խախտում </w:t>
      </w:r>
      <w:proofErr w:type="spellStart"/>
      <w:r w:rsidRPr="00254197">
        <w:rPr>
          <w:rFonts w:ascii="GHEA Grapalat" w:hAnsi="GHEA Grapalat" w:cs="Arial"/>
          <w:color w:val="000000"/>
          <w:lang w:val="hy-AM" w:eastAsia="en-US"/>
        </w:rPr>
        <w:t>չարձանագրված</w:t>
      </w:r>
      <w:proofErr w:type="spellEnd"/>
      <w:r w:rsidRPr="00254197">
        <w:rPr>
          <w:rFonts w:ascii="GHEA Grapalat" w:hAnsi="GHEA Grapalat" w:cs="Arial"/>
          <w:color w:val="000000"/>
          <w:lang w:val="hy-AM" w:eastAsia="en-US"/>
        </w:rPr>
        <w:t xml:space="preserve"> տնտեսվարող սուբյեկտի ընդհանուր ռիսկը ավելի բարձր է </w:t>
      </w:r>
      <w:proofErr w:type="spellStart"/>
      <w:r w:rsidRPr="00254197">
        <w:rPr>
          <w:rFonts w:ascii="GHEA Grapalat" w:hAnsi="GHEA Grapalat" w:cs="Arial"/>
          <w:color w:val="000000"/>
          <w:lang w:val="hy-AM" w:eastAsia="en-US"/>
        </w:rPr>
        <w:t>չստուգվածից</w:t>
      </w:r>
      <w:proofErr w:type="spellEnd"/>
      <w:r w:rsidRPr="00254197">
        <w:rPr>
          <w:rFonts w:ascii="GHEA Grapalat" w:hAnsi="GHEA Grapalat" w:cs="Arial"/>
          <w:color w:val="000000"/>
          <w:lang w:val="hy-AM" w:eastAsia="en-US"/>
        </w:rPr>
        <w:t>, քանի որ ընդհանուր ռիսկ</w:t>
      </w:r>
      <w:r w:rsidR="0037234D" w:rsidRPr="00254197">
        <w:rPr>
          <w:rFonts w:ascii="GHEA Grapalat" w:hAnsi="GHEA Grapalat" w:cs="Arial"/>
          <w:color w:val="000000"/>
          <w:lang w:val="hy-AM" w:eastAsia="en-US"/>
        </w:rPr>
        <w:t>ը</w:t>
      </w:r>
      <w:r w:rsidRPr="00254197">
        <w:rPr>
          <w:rFonts w:ascii="GHEA Grapalat" w:hAnsi="GHEA Grapalat" w:cs="Arial"/>
          <w:color w:val="000000"/>
          <w:lang w:val="hy-AM" w:eastAsia="en-US"/>
        </w:rPr>
        <w:t xml:space="preserve"> հաշվարկելիս</w:t>
      </w:r>
      <w:r w:rsidR="0037234D" w:rsidRPr="00254197">
        <w:rPr>
          <w:rFonts w:ascii="GHEA Grapalat" w:hAnsi="GHEA Grapalat" w:cs="Arial"/>
          <w:color w:val="000000"/>
          <w:lang w:val="hy-AM" w:eastAsia="en-US"/>
        </w:rPr>
        <w:t>՝</w:t>
      </w:r>
      <w:r w:rsidRPr="00254197">
        <w:rPr>
          <w:rFonts w:ascii="GHEA Grapalat" w:hAnsi="GHEA Grapalat" w:cs="Arial"/>
          <w:color w:val="000000"/>
          <w:lang w:val="hy-AM" w:eastAsia="en-US"/>
        </w:rPr>
        <w:t xml:space="preserve"> հիմք է ընդունվում նաև ստուգման </w:t>
      </w:r>
      <w:r w:rsidR="0037234D" w:rsidRPr="00254197">
        <w:rPr>
          <w:rFonts w:ascii="GHEA Grapalat" w:hAnsi="GHEA Grapalat" w:cs="Arial"/>
          <w:color w:val="000000"/>
          <w:lang w:val="hy-AM" w:eastAsia="en-US"/>
        </w:rPr>
        <w:t xml:space="preserve">ընթացքում </w:t>
      </w:r>
      <w:r w:rsidRPr="00254197">
        <w:rPr>
          <w:rFonts w:ascii="GHEA Grapalat" w:hAnsi="GHEA Grapalat" w:cs="Arial"/>
          <w:color w:val="000000"/>
          <w:lang w:val="hy-AM" w:eastAsia="en-US"/>
        </w:rPr>
        <w:t>բացահայտված</w:t>
      </w:r>
      <w:r w:rsidR="0037234D" w:rsidRPr="00254197">
        <w:rPr>
          <w:rFonts w:ascii="GHEA Grapalat" w:hAnsi="GHEA Grapalat" w:cs="Arial"/>
          <w:color w:val="000000"/>
          <w:lang w:val="hy-AM" w:eastAsia="en-US"/>
        </w:rPr>
        <w:t>՝</w:t>
      </w:r>
      <w:r w:rsidRPr="00254197">
        <w:rPr>
          <w:rFonts w:ascii="GHEA Grapalat" w:hAnsi="GHEA Grapalat" w:cs="Arial"/>
          <w:color w:val="000000"/>
          <w:lang w:val="hy-AM" w:eastAsia="en-US"/>
        </w:rPr>
        <w:t xml:space="preserve"> տնտեսավարող սուբյեկտի գործունեության վերլուծության արդ</w:t>
      </w:r>
      <w:r w:rsidR="00254197">
        <w:rPr>
          <w:rFonts w:ascii="GHEA Grapalat" w:hAnsi="GHEA Grapalat" w:cs="Arial"/>
          <w:color w:val="000000"/>
          <w:lang w:val="hy-AM" w:eastAsia="en-US"/>
        </w:rPr>
        <w:t xml:space="preserve">յունքում </w:t>
      </w:r>
      <w:proofErr w:type="spellStart"/>
      <w:r w:rsidR="00254197">
        <w:rPr>
          <w:rFonts w:ascii="GHEA Grapalat" w:hAnsi="GHEA Grapalat" w:cs="Arial"/>
          <w:color w:val="000000"/>
          <w:lang w:val="hy-AM" w:eastAsia="en-US"/>
        </w:rPr>
        <w:t>ձևավորված</w:t>
      </w:r>
      <w:proofErr w:type="spellEnd"/>
      <w:r w:rsidR="00254197">
        <w:rPr>
          <w:rFonts w:ascii="GHEA Grapalat" w:hAnsi="GHEA Grapalat" w:cs="Arial"/>
          <w:color w:val="000000"/>
          <w:lang w:val="hy-AM" w:eastAsia="en-US"/>
        </w:rPr>
        <w:t xml:space="preserve"> ռիսկը: </w:t>
      </w:r>
      <w:proofErr w:type="spellStart"/>
      <w:r w:rsidR="00C26237" w:rsidRPr="00254197">
        <w:rPr>
          <w:rFonts w:ascii="GHEA Grapalat" w:hAnsi="GHEA Grapalat" w:cs="Arial"/>
          <w:color w:val="000000"/>
          <w:lang w:val="hy-AM" w:eastAsia="en-US"/>
        </w:rPr>
        <w:t>Վերոնշյալի</w:t>
      </w:r>
      <w:proofErr w:type="spellEnd"/>
      <w:r w:rsidR="00C26237" w:rsidRPr="00254197">
        <w:rPr>
          <w:rFonts w:ascii="GHEA Grapalat" w:hAnsi="GHEA Grapalat" w:cs="Arial"/>
          <w:color w:val="000000"/>
          <w:lang w:val="hy-AM" w:eastAsia="en-US"/>
        </w:rPr>
        <w:t xml:space="preserve"> պարագայում</w:t>
      </w:r>
      <w:r w:rsidR="0037234D" w:rsidRPr="00254197">
        <w:rPr>
          <w:rFonts w:ascii="GHEA Grapalat" w:hAnsi="GHEA Grapalat" w:cs="Arial"/>
          <w:color w:val="000000"/>
          <w:lang w:val="hy-AM" w:eastAsia="en-US"/>
        </w:rPr>
        <w:t>,</w:t>
      </w:r>
      <w:r w:rsidR="00C26237" w:rsidRPr="00254197">
        <w:rPr>
          <w:rFonts w:ascii="GHEA Grapalat" w:hAnsi="GHEA Grapalat" w:cs="Arial"/>
          <w:color w:val="000000"/>
          <w:lang w:val="hy-AM" w:eastAsia="en-US"/>
        </w:rPr>
        <w:t xml:space="preserve"> </w:t>
      </w:r>
      <w:proofErr w:type="spellStart"/>
      <w:r w:rsidR="00C26237" w:rsidRPr="00254197">
        <w:rPr>
          <w:rFonts w:ascii="GHEA Grapalat" w:hAnsi="GHEA Grapalat" w:cs="Arial"/>
          <w:color w:val="000000"/>
          <w:lang w:val="hy-AM" w:eastAsia="en-US"/>
        </w:rPr>
        <w:t>տնտեսավարողներից</w:t>
      </w:r>
      <w:proofErr w:type="spellEnd"/>
      <w:r w:rsidR="00C26237" w:rsidRPr="00254197">
        <w:rPr>
          <w:rFonts w:ascii="GHEA Grapalat" w:hAnsi="GHEA Grapalat" w:cs="Arial"/>
          <w:color w:val="000000"/>
          <w:lang w:val="hy-AM" w:eastAsia="en-US"/>
        </w:rPr>
        <w:t xml:space="preserve"> շատերը դուրս են մնում պետական վերահսկողության շրջանակներից՝ ռիսկի հանրագումարի ցածր լինելու արդյունքում։ </w:t>
      </w:r>
      <w:r w:rsidR="00463AA4" w:rsidRPr="00254197">
        <w:rPr>
          <w:rFonts w:ascii="GHEA Grapalat" w:hAnsi="GHEA Grapalat" w:cs="Arial"/>
          <w:color w:val="000000"/>
          <w:lang w:val="hy-AM" w:eastAsia="en-US"/>
        </w:rPr>
        <w:t xml:space="preserve"> </w:t>
      </w:r>
    </w:p>
    <w:p w14:paraId="486DBB52" w14:textId="26BE5B32" w:rsidR="00997E61" w:rsidRPr="00254197" w:rsidRDefault="00DF78F3" w:rsidP="002A6B36">
      <w:pPr>
        <w:spacing w:line="360" w:lineRule="auto"/>
        <w:ind w:right="-151" w:firstLine="567"/>
        <w:jc w:val="both"/>
        <w:rPr>
          <w:rFonts w:ascii="GHEA Grapalat" w:hAnsi="GHEA Grapalat"/>
          <w:lang w:val="hy-AM"/>
        </w:rPr>
      </w:pPr>
      <w:r w:rsidRPr="00254197">
        <w:rPr>
          <w:rFonts w:ascii="GHEA Grapalat" w:hAnsi="GHEA Grapalat"/>
          <w:lang w:val="hy-AM"/>
        </w:rPr>
        <w:t>Բացի այդ</w:t>
      </w:r>
      <w:r w:rsidR="0073139B" w:rsidRPr="00254197">
        <w:rPr>
          <w:rFonts w:ascii="GHEA Grapalat" w:hAnsi="GHEA Grapalat"/>
          <w:lang w:val="hy-AM"/>
        </w:rPr>
        <w:t xml:space="preserve">, անհրաժեշտություն է առաջացել </w:t>
      </w:r>
      <w:r w:rsidRPr="00254197">
        <w:rPr>
          <w:rFonts w:ascii="GHEA Grapalat" w:hAnsi="GHEA Grapalat"/>
          <w:lang w:val="hy-AM"/>
        </w:rPr>
        <w:t xml:space="preserve"> նաև </w:t>
      </w:r>
      <w:r w:rsidR="0073139B" w:rsidRPr="00254197">
        <w:rPr>
          <w:rFonts w:ascii="GHEA Grapalat" w:hAnsi="GHEA Grapalat"/>
          <w:lang w:val="hy-AM"/>
        </w:rPr>
        <w:t xml:space="preserve">նոր խմբագրությամբ շարադրել ոլորտային ռիսկի հաշվարկման աղյուսակը, </w:t>
      </w:r>
      <w:r w:rsidR="00794920" w:rsidRPr="00254197">
        <w:rPr>
          <w:rFonts w:ascii="GHEA Grapalat" w:hAnsi="GHEA Grapalat"/>
          <w:lang w:val="hy-AM"/>
        </w:rPr>
        <w:t>մասնավորապես</w:t>
      </w:r>
      <w:r w:rsidR="0073139B" w:rsidRPr="00254197">
        <w:rPr>
          <w:rFonts w:ascii="GHEA Grapalat" w:hAnsi="GHEA Grapalat"/>
          <w:lang w:val="hy-AM"/>
        </w:rPr>
        <w:t xml:space="preserve">՝ լրացնել նոր </w:t>
      </w:r>
      <w:proofErr w:type="spellStart"/>
      <w:r w:rsidR="0073139B" w:rsidRPr="00254197">
        <w:rPr>
          <w:rFonts w:ascii="GHEA Grapalat" w:hAnsi="GHEA Grapalat"/>
          <w:lang w:val="hy-AM"/>
        </w:rPr>
        <w:t>ոլորտներով</w:t>
      </w:r>
      <w:proofErr w:type="spellEnd"/>
      <w:r w:rsidR="0073139B" w:rsidRPr="00254197">
        <w:rPr>
          <w:rFonts w:ascii="GHEA Grapalat" w:hAnsi="GHEA Grapalat"/>
          <w:lang w:val="hy-AM"/>
        </w:rPr>
        <w:t xml:space="preserve">, այդ թվում՝ </w:t>
      </w:r>
      <w:r w:rsidR="0097264F" w:rsidRPr="00254197">
        <w:rPr>
          <w:rFonts w:ascii="GHEA Grapalat" w:hAnsi="GHEA Grapalat"/>
          <w:lang w:val="hy-AM"/>
        </w:rPr>
        <w:t xml:space="preserve">արտադրական կանեփ, </w:t>
      </w:r>
      <w:r w:rsidR="002A40DF" w:rsidRPr="00254197">
        <w:rPr>
          <w:rFonts w:ascii="GHEA Grapalat" w:hAnsi="GHEA Grapalat"/>
          <w:lang w:val="hy-AM"/>
        </w:rPr>
        <w:t>ք</w:t>
      </w:r>
      <w:r w:rsidR="0073139B" w:rsidRPr="00254197">
        <w:rPr>
          <w:rFonts w:ascii="GHEA Grapalat" w:hAnsi="GHEA Grapalat"/>
          <w:lang w:val="hy-AM"/>
        </w:rPr>
        <w:t xml:space="preserve">իմիական արտադրանք, </w:t>
      </w:r>
      <w:r w:rsidR="002A40DF" w:rsidRPr="00254197">
        <w:rPr>
          <w:rFonts w:ascii="GHEA Grapalat" w:hAnsi="GHEA Grapalat"/>
          <w:lang w:val="hy-AM"/>
        </w:rPr>
        <w:t>հ</w:t>
      </w:r>
      <w:r w:rsidR="0073139B" w:rsidRPr="00254197">
        <w:rPr>
          <w:rFonts w:ascii="GHEA Grapalat" w:hAnsi="GHEA Grapalat"/>
          <w:lang w:val="hy-AM"/>
        </w:rPr>
        <w:t>անքային պարարտանյութեր</w:t>
      </w:r>
      <w:r w:rsidR="002A40DF" w:rsidRPr="00254197">
        <w:rPr>
          <w:rFonts w:ascii="GHEA Grapalat" w:hAnsi="GHEA Grapalat"/>
          <w:lang w:val="hy-AM"/>
        </w:rPr>
        <w:t xml:space="preserve">, տրանսպորտային փոխադրման և (կամ) օգտագործման համար նախապատրաստված բնական այրվող գազ, </w:t>
      </w:r>
      <w:proofErr w:type="spellStart"/>
      <w:r w:rsidR="002A40DF" w:rsidRPr="00254197">
        <w:rPr>
          <w:rFonts w:ascii="GHEA Grapalat" w:hAnsi="GHEA Grapalat"/>
          <w:lang w:val="hy-AM"/>
        </w:rPr>
        <w:t>Էներգախնայող</w:t>
      </w:r>
      <w:proofErr w:type="spellEnd"/>
      <w:r w:rsidR="002A40DF" w:rsidRPr="00254197">
        <w:rPr>
          <w:rFonts w:ascii="GHEA Grapalat" w:hAnsi="GHEA Grapalat"/>
          <w:lang w:val="hy-AM"/>
        </w:rPr>
        <w:t xml:space="preserve"> սարքերի </w:t>
      </w:r>
      <w:proofErr w:type="spellStart"/>
      <w:r w:rsidR="002A40DF" w:rsidRPr="00254197">
        <w:rPr>
          <w:rFonts w:ascii="GHEA Grapalat" w:hAnsi="GHEA Grapalat"/>
          <w:lang w:val="hy-AM"/>
        </w:rPr>
        <w:t>էներգաարդյունավետություն</w:t>
      </w:r>
      <w:proofErr w:type="spellEnd"/>
      <w:r w:rsidR="00794920" w:rsidRPr="00254197">
        <w:rPr>
          <w:rFonts w:ascii="GHEA Grapalat" w:hAnsi="GHEA Grapalat"/>
          <w:lang w:val="hy-AM"/>
        </w:rPr>
        <w:t>, տրանսպորտային փոխադրման և (կամ) օգտագործման համար նախապատրաստված բնական այրվող գազ</w:t>
      </w:r>
      <w:r w:rsidR="002A40DF" w:rsidRPr="00254197">
        <w:rPr>
          <w:rFonts w:ascii="GHEA Grapalat" w:hAnsi="GHEA Grapalat"/>
          <w:lang w:val="hy-AM"/>
        </w:rPr>
        <w:t xml:space="preserve"> և փոխադրման և (կամ) օգտագործման համար պատրաստված նավթ</w:t>
      </w:r>
      <w:r w:rsidR="006635CF" w:rsidRPr="00254197">
        <w:rPr>
          <w:rFonts w:ascii="GHEA Grapalat" w:hAnsi="GHEA Grapalat"/>
          <w:lang w:val="hy-AM"/>
        </w:rPr>
        <w:t>, որոնց պահան</w:t>
      </w:r>
      <w:r w:rsidR="00385A5B" w:rsidRPr="00254197">
        <w:rPr>
          <w:rFonts w:ascii="GHEA Grapalat" w:hAnsi="GHEA Grapalat"/>
          <w:lang w:val="hy-AM"/>
        </w:rPr>
        <w:t>ջ</w:t>
      </w:r>
      <w:r w:rsidR="006635CF" w:rsidRPr="00254197">
        <w:rPr>
          <w:rFonts w:ascii="GHEA Grapalat" w:hAnsi="GHEA Grapalat"/>
          <w:lang w:val="hy-AM"/>
        </w:rPr>
        <w:t>ների պահպանման նկատմամ</w:t>
      </w:r>
      <w:r w:rsidR="00385A5B" w:rsidRPr="00254197">
        <w:rPr>
          <w:rFonts w:ascii="GHEA Grapalat" w:hAnsi="GHEA Grapalat"/>
          <w:lang w:val="hy-AM"/>
        </w:rPr>
        <w:t>բ</w:t>
      </w:r>
      <w:r w:rsidR="006635CF" w:rsidRPr="00254197">
        <w:rPr>
          <w:rFonts w:ascii="GHEA Grapalat" w:hAnsi="GHEA Grapalat"/>
          <w:lang w:val="hy-AM"/>
        </w:rPr>
        <w:t xml:space="preserve"> վերահսկողությունը </w:t>
      </w:r>
      <w:r w:rsidRPr="00254197">
        <w:rPr>
          <w:rFonts w:ascii="GHEA Grapalat" w:hAnsi="GHEA Grapalat"/>
          <w:lang w:val="hy-AM"/>
        </w:rPr>
        <w:t xml:space="preserve">վերապահվել </w:t>
      </w:r>
      <w:r w:rsidR="006635CF" w:rsidRPr="00254197">
        <w:rPr>
          <w:rFonts w:ascii="GHEA Grapalat" w:hAnsi="GHEA Grapalat"/>
          <w:lang w:val="hy-AM"/>
        </w:rPr>
        <w:t xml:space="preserve">է </w:t>
      </w:r>
      <w:r w:rsidR="00385A5B" w:rsidRPr="00254197">
        <w:rPr>
          <w:rFonts w:ascii="GHEA Grapalat" w:hAnsi="GHEA Grapalat"/>
          <w:lang w:val="hy-AM"/>
        </w:rPr>
        <w:t>Տ</w:t>
      </w:r>
      <w:r w:rsidR="006635CF" w:rsidRPr="00254197">
        <w:rPr>
          <w:rFonts w:ascii="GHEA Grapalat" w:hAnsi="GHEA Grapalat"/>
          <w:lang w:val="hy-AM"/>
        </w:rPr>
        <w:t>ես</w:t>
      </w:r>
      <w:r w:rsidR="00385A5B" w:rsidRPr="00254197">
        <w:rPr>
          <w:rFonts w:ascii="GHEA Grapalat" w:hAnsi="GHEA Grapalat"/>
          <w:lang w:val="hy-AM"/>
        </w:rPr>
        <w:t>չ</w:t>
      </w:r>
      <w:r w:rsidR="006635CF" w:rsidRPr="00254197">
        <w:rPr>
          <w:rFonts w:ascii="GHEA Grapalat" w:hAnsi="GHEA Grapalat"/>
          <w:lang w:val="hy-AM"/>
        </w:rPr>
        <w:t xml:space="preserve">ական մարմնին։ </w:t>
      </w:r>
    </w:p>
    <w:p w14:paraId="34B81BC5" w14:textId="090BBD24" w:rsidR="00D66EDC" w:rsidRPr="00254197" w:rsidRDefault="00D06FF5" w:rsidP="00876116">
      <w:pPr>
        <w:spacing w:line="360" w:lineRule="auto"/>
        <w:ind w:firstLine="720"/>
        <w:jc w:val="both"/>
        <w:rPr>
          <w:rFonts w:ascii="GHEA Grapalat" w:hAnsi="GHEA Grapalat"/>
          <w:lang w:val="hy-AM"/>
        </w:rPr>
      </w:pPr>
      <w:r w:rsidRPr="00254197">
        <w:rPr>
          <w:rFonts w:ascii="GHEA Grapalat" w:hAnsi="GHEA Grapalat"/>
          <w:lang w:val="hy-AM"/>
        </w:rPr>
        <w:t xml:space="preserve"> Նոր ոլորտների լրացում</w:t>
      </w:r>
      <w:r w:rsidR="00DF78F3" w:rsidRPr="00254197">
        <w:rPr>
          <w:rFonts w:ascii="GHEA Grapalat" w:hAnsi="GHEA Grapalat"/>
          <w:lang w:val="hy-AM"/>
        </w:rPr>
        <w:t>ն</w:t>
      </w:r>
      <w:r w:rsidRPr="00254197">
        <w:rPr>
          <w:rFonts w:ascii="GHEA Grapalat" w:hAnsi="GHEA Grapalat"/>
          <w:lang w:val="hy-AM"/>
        </w:rPr>
        <w:t xml:space="preserve"> առաջացնում է </w:t>
      </w:r>
      <w:r w:rsidR="000920E0" w:rsidRPr="00254197">
        <w:rPr>
          <w:rFonts w:ascii="GHEA Grapalat" w:hAnsi="GHEA Grapalat"/>
          <w:lang w:val="hy-AM"/>
        </w:rPr>
        <w:t xml:space="preserve">այլ </w:t>
      </w:r>
      <w:r w:rsidR="002A40DF" w:rsidRPr="00254197">
        <w:rPr>
          <w:rFonts w:ascii="GHEA Grapalat" w:hAnsi="GHEA Grapalat"/>
          <w:lang w:val="hy-AM"/>
        </w:rPr>
        <w:t>ո</w:t>
      </w:r>
      <w:r w:rsidR="00333217" w:rsidRPr="00254197">
        <w:rPr>
          <w:rFonts w:ascii="GHEA Grapalat" w:hAnsi="GHEA Grapalat"/>
          <w:lang w:val="hy-AM"/>
        </w:rPr>
        <w:t>լ</w:t>
      </w:r>
      <w:r w:rsidR="002A40DF" w:rsidRPr="00254197">
        <w:rPr>
          <w:rFonts w:ascii="GHEA Grapalat" w:hAnsi="GHEA Grapalat"/>
          <w:lang w:val="hy-AM"/>
        </w:rPr>
        <w:t>որտ</w:t>
      </w:r>
      <w:r w:rsidR="00DF78F3" w:rsidRPr="00254197">
        <w:rPr>
          <w:rFonts w:ascii="GHEA Grapalat" w:hAnsi="GHEA Grapalat"/>
          <w:lang w:val="hy-AM"/>
        </w:rPr>
        <w:t>ների</w:t>
      </w:r>
      <w:r w:rsidR="002A40DF" w:rsidRPr="00254197">
        <w:rPr>
          <w:rFonts w:ascii="GHEA Grapalat" w:hAnsi="GHEA Grapalat"/>
          <w:lang w:val="hy-AM"/>
        </w:rPr>
        <w:t xml:space="preserve"> ռիսկի հաշվարկման </w:t>
      </w:r>
      <w:r w:rsidRPr="00254197">
        <w:rPr>
          <w:rFonts w:ascii="GHEA Grapalat" w:hAnsi="GHEA Grapalat"/>
          <w:lang w:val="hy-AM"/>
        </w:rPr>
        <w:t>միավորների վերանայման (նվազեցման կամ բարձրացման) անհրաժեշտություն</w:t>
      </w:r>
      <w:r w:rsidR="000920E0" w:rsidRPr="00254197">
        <w:rPr>
          <w:rFonts w:ascii="GHEA Grapalat" w:hAnsi="GHEA Grapalat"/>
          <w:lang w:val="hy-AM"/>
        </w:rPr>
        <w:t xml:space="preserve">, այն է՝ </w:t>
      </w:r>
      <w:r w:rsidRPr="00254197">
        <w:rPr>
          <w:rFonts w:ascii="GHEA Grapalat" w:hAnsi="GHEA Grapalat"/>
          <w:color w:val="000000"/>
          <w:shd w:val="clear" w:color="auto" w:fill="FFFFFF"/>
          <w:lang w:val="hy-AM"/>
        </w:rPr>
        <w:t xml:space="preserve">ոլորտների </w:t>
      </w:r>
      <w:proofErr w:type="spellStart"/>
      <w:r w:rsidRPr="00254197">
        <w:rPr>
          <w:rFonts w:ascii="GHEA Grapalat" w:hAnsi="GHEA Grapalat"/>
          <w:color w:val="000000"/>
          <w:shd w:val="clear" w:color="auto" w:fill="FFFFFF"/>
          <w:lang w:val="hy-AM"/>
        </w:rPr>
        <w:t>կարևորությ</w:t>
      </w:r>
      <w:r w:rsidR="000920E0" w:rsidRPr="00254197">
        <w:rPr>
          <w:rFonts w:ascii="GHEA Grapalat" w:hAnsi="GHEA Grapalat"/>
          <w:color w:val="000000"/>
          <w:shd w:val="clear" w:color="auto" w:fill="FFFFFF"/>
          <w:lang w:val="hy-AM"/>
        </w:rPr>
        <w:t>ան</w:t>
      </w:r>
      <w:proofErr w:type="spellEnd"/>
      <w:r w:rsidRPr="00254197">
        <w:rPr>
          <w:rFonts w:ascii="GHEA Grapalat" w:hAnsi="GHEA Grapalat"/>
          <w:color w:val="000000"/>
          <w:shd w:val="clear" w:color="auto" w:fill="FFFFFF"/>
          <w:lang w:val="hy-AM"/>
        </w:rPr>
        <w:t xml:space="preserve"> ու վտանգավորությ</w:t>
      </w:r>
      <w:r w:rsidR="000920E0" w:rsidRPr="00254197">
        <w:rPr>
          <w:rFonts w:ascii="GHEA Grapalat" w:hAnsi="GHEA Grapalat"/>
          <w:color w:val="000000"/>
          <w:shd w:val="clear" w:color="auto" w:fill="FFFFFF"/>
          <w:lang w:val="hy-AM"/>
        </w:rPr>
        <w:t>ան աստիճանների համադրություն</w:t>
      </w:r>
      <w:r w:rsidR="00DF78F3" w:rsidRPr="00254197">
        <w:rPr>
          <w:rFonts w:ascii="GHEA Grapalat" w:hAnsi="GHEA Grapalat"/>
          <w:color w:val="000000"/>
          <w:shd w:val="clear" w:color="auto" w:fill="FFFFFF"/>
          <w:lang w:val="hy-AM"/>
        </w:rPr>
        <w:t>, որի ա</w:t>
      </w:r>
      <w:r w:rsidR="00B923D7" w:rsidRPr="00254197">
        <w:rPr>
          <w:rFonts w:ascii="GHEA Grapalat" w:hAnsi="GHEA Grapalat"/>
          <w:color w:val="000000"/>
          <w:shd w:val="clear" w:color="auto" w:fill="FFFFFF"/>
          <w:lang w:val="hy-AM"/>
        </w:rPr>
        <w:t>ր</w:t>
      </w:r>
      <w:r w:rsidR="00DF78F3" w:rsidRPr="00254197">
        <w:rPr>
          <w:rFonts w:ascii="GHEA Grapalat" w:hAnsi="GHEA Grapalat"/>
          <w:color w:val="000000"/>
          <w:shd w:val="clear" w:color="auto" w:fill="FFFFFF"/>
          <w:lang w:val="hy-AM"/>
        </w:rPr>
        <w:t xml:space="preserve">դյունքում համամասնորեն փոխվում են </w:t>
      </w:r>
      <w:proofErr w:type="spellStart"/>
      <w:r w:rsidR="00DF78F3" w:rsidRPr="00254197">
        <w:rPr>
          <w:rFonts w:ascii="GHEA Grapalat" w:hAnsi="GHEA Grapalat"/>
          <w:color w:val="000000"/>
          <w:shd w:val="clear" w:color="auto" w:fill="FFFFFF"/>
          <w:lang w:val="hy-AM"/>
        </w:rPr>
        <w:t>ոլոըտային</w:t>
      </w:r>
      <w:proofErr w:type="spellEnd"/>
      <w:r w:rsidR="00DF78F3" w:rsidRPr="00254197">
        <w:rPr>
          <w:rFonts w:ascii="GHEA Grapalat" w:hAnsi="GHEA Grapalat"/>
          <w:color w:val="000000"/>
          <w:shd w:val="clear" w:color="auto" w:fill="FFFFFF"/>
          <w:lang w:val="hy-AM"/>
        </w:rPr>
        <w:t xml:space="preserve"> ռիսկի միավորները</w:t>
      </w:r>
      <w:r w:rsidR="000920E0" w:rsidRPr="00254197">
        <w:rPr>
          <w:rFonts w:ascii="GHEA Grapalat" w:hAnsi="GHEA Grapalat"/>
          <w:color w:val="000000"/>
          <w:shd w:val="clear" w:color="auto" w:fill="FFFFFF"/>
          <w:lang w:val="hy-AM"/>
        </w:rPr>
        <w:t xml:space="preserve">։ Բացի այդ, </w:t>
      </w:r>
      <w:r w:rsidR="000920E0" w:rsidRPr="00254197">
        <w:rPr>
          <w:rFonts w:ascii="GHEA Grapalat" w:hAnsi="GHEA Grapalat"/>
          <w:lang w:val="hy-AM"/>
        </w:rPr>
        <w:t xml:space="preserve">ոլորտային ռիսկի միավորների վերանայման համար  հիմք է հանդիսանում նաև </w:t>
      </w:r>
      <w:r w:rsidR="00362936" w:rsidRPr="00254197">
        <w:rPr>
          <w:rFonts w:ascii="GHEA Grapalat" w:hAnsi="GHEA Grapalat"/>
          <w:lang w:val="hy-AM"/>
        </w:rPr>
        <w:t>Տեսչական մարմ</w:t>
      </w:r>
      <w:r w:rsidR="00997E61" w:rsidRPr="00254197">
        <w:rPr>
          <w:rFonts w:ascii="GHEA Grapalat" w:hAnsi="GHEA Grapalat"/>
          <w:lang w:val="hy-AM"/>
        </w:rPr>
        <w:t>նի կողմից</w:t>
      </w:r>
      <w:r w:rsidR="00362936" w:rsidRPr="00254197">
        <w:rPr>
          <w:rFonts w:ascii="GHEA Grapalat" w:hAnsi="GHEA Grapalat"/>
          <w:lang w:val="hy-AM"/>
        </w:rPr>
        <w:t xml:space="preserve"> </w:t>
      </w:r>
      <w:r w:rsidR="000920E0" w:rsidRPr="00254197">
        <w:rPr>
          <w:rFonts w:ascii="GHEA Grapalat" w:hAnsi="GHEA Grapalat"/>
          <w:lang w:val="hy-AM"/>
        </w:rPr>
        <w:t>նախորդ տարիների</w:t>
      </w:r>
      <w:r w:rsidR="00362936" w:rsidRPr="00254197">
        <w:rPr>
          <w:rFonts w:ascii="GHEA Grapalat" w:hAnsi="GHEA Grapalat"/>
          <w:lang w:val="hy-AM"/>
        </w:rPr>
        <w:t xml:space="preserve"> ստուգումների իրականացման </w:t>
      </w:r>
      <w:r w:rsidR="000920E0" w:rsidRPr="00254197">
        <w:rPr>
          <w:rFonts w:ascii="GHEA Grapalat" w:hAnsi="GHEA Grapalat"/>
          <w:lang w:val="hy-AM"/>
        </w:rPr>
        <w:t>արդյունքները, մասնավորապես՝</w:t>
      </w:r>
      <w:r w:rsidR="00997E61" w:rsidRPr="00254197">
        <w:rPr>
          <w:rFonts w:ascii="GHEA Grapalat" w:hAnsi="GHEA Grapalat"/>
          <w:lang w:val="hy-AM"/>
        </w:rPr>
        <w:t xml:space="preserve"> առանձին ոլորտներում արձանագրված խախտումների նվազեցման միտումները</w:t>
      </w:r>
      <w:r w:rsidR="00362936" w:rsidRPr="00254197">
        <w:rPr>
          <w:rFonts w:ascii="GHEA Grapalat" w:hAnsi="GHEA Grapalat"/>
          <w:lang w:val="hy-AM"/>
        </w:rPr>
        <w:t xml:space="preserve">, </w:t>
      </w:r>
      <w:r w:rsidR="00333217" w:rsidRPr="00254197">
        <w:rPr>
          <w:rFonts w:ascii="GHEA Grapalat" w:hAnsi="GHEA Grapalat"/>
          <w:lang w:val="hy-AM"/>
        </w:rPr>
        <w:t xml:space="preserve">ինչպես նաև </w:t>
      </w:r>
      <w:r w:rsidR="00DF78F3" w:rsidRPr="00254197">
        <w:rPr>
          <w:rFonts w:ascii="GHEA Grapalat" w:hAnsi="GHEA Grapalat"/>
          <w:lang w:val="hy-AM"/>
        </w:rPr>
        <w:t xml:space="preserve">Տեսչական </w:t>
      </w:r>
      <w:r w:rsidR="006635CF" w:rsidRPr="00254197">
        <w:rPr>
          <w:rFonts w:ascii="GHEA Grapalat" w:hAnsi="GHEA Grapalat"/>
          <w:lang w:val="hy-AM"/>
        </w:rPr>
        <w:t xml:space="preserve">մարմնի կողմից հսկման ենթակա ոլորտների </w:t>
      </w:r>
      <w:r w:rsidR="006635CF" w:rsidRPr="00254197">
        <w:rPr>
          <w:rFonts w:ascii="GHEA Grapalat" w:hAnsi="GHEA Grapalat"/>
          <w:lang w:val="hy-AM"/>
        </w:rPr>
        <w:lastRenderedPageBreak/>
        <w:t xml:space="preserve">տեխնիկական </w:t>
      </w:r>
      <w:proofErr w:type="spellStart"/>
      <w:r w:rsidR="006635CF" w:rsidRPr="00254197">
        <w:rPr>
          <w:rFonts w:ascii="GHEA Grapalat" w:hAnsi="GHEA Grapalat"/>
          <w:lang w:val="hy-AM"/>
        </w:rPr>
        <w:t>կանոնակարգերի</w:t>
      </w:r>
      <w:proofErr w:type="spellEnd"/>
      <w:r w:rsidR="006635CF" w:rsidRPr="00254197">
        <w:rPr>
          <w:rFonts w:ascii="GHEA Grapalat" w:hAnsi="GHEA Grapalat"/>
          <w:lang w:val="hy-AM"/>
        </w:rPr>
        <w:t xml:space="preserve"> պահանջների, հավանական վնաս առաջացնող գործոնների ազդեցության և վնասի աստիճանի փոփոխությ</w:t>
      </w:r>
      <w:r w:rsidR="000920E0" w:rsidRPr="00254197">
        <w:rPr>
          <w:rFonts w:ascii="GHEA Grapalat" w:hAnsi="GHEA Grapalat"/>
          <w:lang w:val="hy-AM"/>
        </w:rPr>
        <w:t>ունը</w:t>
      </w:r>
      <w:r w:rsidR="00362936" w:rsidRPr="00254197">
        <w:rPr>
          <w:rFonts w:ascii="GHEA Grapalat" w:hAnsi="GHEA Grapalat"/>
          <w:lang w:val="hy-AM"/>
        </w:rPr>
        <w:t>։</w:t>
      </w:r>
      <w:r w:rsidR="00997E61" w:rsidRPr="00254197">
        <w:rPr>
          <w:rFonts w:ascii="GHEA Grapalat" w:hAnsi="GHEA Grapalat"/>
          <w:lang w:val="hy-AM"/>
        </w:rPr>
        <w:t xml:space="preserve"> </w:t>
      </w:r>
    </w:p>
    <w:p w14:paraId="24B7E147" w14:textId="6CB41A0C" w:rsidR="006A0B71" w:rsidRPr="00254197" w:rsidRDefault="00997E61" w:rsidP="002A6B36">
      <w:pPr>
        <w:spacing w:line="360" w:lineRule="auto"/>
        <w:ind w:firstLine="720"/>
        <w:jc w:val="both"/>
        <w:rPr>
          <w:rFonts w:ascii="GHEA Grapalat" w:hAnsi="GHEA Grapalat"/>
          <w:lang w:val="hy-AM"/>
        </w:rPr>
      </w:pPr>
      <w:r w:rsidRPr="00254197">
        <w:rPr>
          <w:rFonts w:ascii="GHEA Grapalat" w:hAnsi="GHEA Grapalat"/>
          <w:lang w:val="hy-AM"/>
        </w:rPr>
        <w:t xml:space="preserve"> Հիմք ընդունելով </w:t>
      </w:r>
      <w:proofErr w:type="spellStart"/>
      <w:r w:rsidR="00FB7A16" w:rsidRPr="00254197">
        <w:rPr>
          <w:rFonts w:ascii="GHEA Grapalat" w:hAnsi="GHEA Grapalat"/>
          <w:lang w:val="hy-AM"/>
        </w:rPr>
        <w:t>վերոգրյալ</w:t>
      </w:r>
      <w:r w:rsidR="00DF78F3" w:rsidRPr="00254197">
        <w:rPr>
          <w:rFonts w:ascii="GHEA Grapalat" w:hAnsi="GHEA Grapalat"/>
          <w:lang w:val="hy-AM"/>
        </w:rPr>
        <w:t>ն</w:t>
      </w:r>
      <w:proofErr w:type="spellEnd"/>
      <w:r w:rsidRPr="00254197">
        <w:rPr>
          <w:rFonts w:ascii="GHEA Grapalat" w:hAnsi="GHEA Grapalat"/>
          <w:lang w:val="hy-AM"/>
        </w:rPr>
        <w:t xml:space="preserve">, </w:t>
      </w:r>
      <w:r w:rsidR="00DF78F3" w:rsidRPr="00254197">
        <w:rPr>
          <w:rFonts w:ascii="GHEA Grapalat" w:hAnsi="GHEA Grapalat"/>
          <w:lang w:val="hy-AM"/>
        </w:rPr>
        <w:t xml:space="preserve">ինչպես նաև </w:t>
      </w:r>
      <w:r w:rsidR="002A6B36" w:rsidRPr="00254197">
        <w:rPr>
          <w:rFonts w:ascii="GHEA Grapalat" w:hAnsi="GHEA Grapalat"/>
          <w:lang w:val="hy-AM"/>
        </w:rPr>
        <w:t xml:space="preserve">վերահսկվող ոլորտներում </w:t>
      </w:r>
      <w:proofErr w:type="spellStart"/>
      <w:r w:rsidR="002A6B36" w:rsidRPr="00254197">
        <w:rPr>
          <w:rFonts w:ascii="GHEA Grapalat" w:hAnsi="GHEA Grapalat"/>
          <w:lang w:val="hy-AM"/>
        </w:rPr>
        <w:t>ռիսկայության</w:t>
      </w:r>
      <w:proofErr w:type="spellEnd"/>
      <w:r w:rsidR="002A6B36" w:rsidRPr="00254197">
        <w:rPr>
          <w:rFonts w:ascii="GHEA Grapalat" w:hAnsi="GHEA Grapalat"/>
          <w:lang w:val="hy-AM"/>
        </w:rPr>
        <w:t xml:space="preserve"> չափորոշիչների </w:t>
      </w:r>
      <w:proofErr w:type="spellStart"/>
      <w:r w:rsidR="002A6B36" w:rsidRPr="00254197">
        <w:rPr>
          <w:rFonts w:ascii="GHEA Grapalat" w:hAnsi="GHEA Grapalat"/>
          <w:lang w:val="hy-AM"/>
        </w:rPr>
        <w:t>աստիճանակարգումն</w:t>
      </w:r>
      <w:proofErr w:type="spellEnd"/>
      <w:r w:rsidR="002A6B36" w:rsidRPr="00254197">
        <w:rPr>
          <w:rFonts w:ascii="GHEA Grapalat" w:hAnsi="GHEA Grapalat"/>
          <w:lang w:val="hy-AM"/>
        </w:rPr>
        <w:t xml:space="preserve"> ապահովելու </w:t>
      </w:r>
      <w:r w:rsidR="006A44AC" w:rsidRPr="00254197">
        <w:rPr>
          <w:rFonts w:ascii="GHEA Grapalat" w:hAnsi="GHEA Grapalat"/>
          <w:lang w:val="hy-AM"/>
        </w:rPr>
        <w:t xml:space="preserve">նպատակով՝ </w:t>
      </w:r>
      <w:r w:rsidR="00FB7A16" w:rsidRPr="00254197">
        <w:rPr>
          <w:rFonts w:ascii="GHEA Grapalat" w:hAnsi="GHEA Grapalat"/>
          <w:lang w:val="hy-AM"/>
        </w:rPr>
        <w:t xml:space="preserve">մի շարք ոլորտներում </w:t>
      </w:r>
      <w:proofErr w:type="spellStart"/>
      <w:r w:rsidR="00FB7A16" w:rsidRPr="00254197">
        <w:rPr>
          <w:rFonts w:ascii="GHEA Grapalat" w:hAnsi="GHEA Grapalat"/>
          <w:lang w:val="hy-AM"/>
        </w:rPr>
        <w:t>ռիսկայնության</w:t>
      </w:r>
      <w:proofErr w:type="spellEnd"/>
      <w:r w:rsidR="00FB7A16" w:rsidRPr="00254197">
        <w:rPr>
          <w:rFonts w:ascii="GHEA Grapalat" w:hAnsi="GHEA Grapalat"/>
          <w:lang w:val="hy-AM"/>
        </w:rPr>
        <w:t xml:space="preserve"> միավորներն ավելացվել կամ նվազեցվել են մեկ կան երկու միավորով, օրինակ՝ չափումների միասնականություն, օծանելիք և կոսմետիկ արտադրանք, ցե</w:t>
      </w:r>
      <w:r w:rsidR="00DF78F3" w:rsidRPr="00254197">
        <w:rPr>
          <w:rFonts w:ascii="GHEA Grapalat" w:hAnsi="GHEA Grapalat"/>
          <w:lang w:val="hy-AM"/>
        </w:rPr>
        <w:t>մ</w:t>
      </w:r>
      <w:r w:rsidR="00FB7A16" w:rsidRPr="00254197">
        <w:rPr>
          <w:rFonts w:ascii="GHEA Grapalat" w:hAnsi="GHEA Grapalat"/>
          <w:lang w:val="hy-AM"/>
        </w:rPr>
        <w:t xml:space="preserve">ենտ, </w:t>
      </w:r>
      <w:proofErr w:type="spellStart"/>
      <w:r w:rsidR="00FB7A16" w:rsidRPr="00254197">
        <w:rPr>
          <w:rFonts w:ascii="GHEA Grapalat" w:hAnsi="GHEA Grapalat"/>
          <w:lang w:val="hy-AM"/>
        </w:rPr>
        <w:t>թեթև</w:t>
      </w:r>
      <w:proofErr w:type="spellEnd"/>
      <w:r w:rsidR="00FB7A16" w:rsidRPr="00254197">
        <w:rPr>
          <w:rFonts w:ascii="GHEA Grapalat" w:hAnsi="GHEA Grapalat"/>
          <w:lang w:val="hy-AM"/>
        </w:rPr>
        <w:t xml:space="preserve"> արդյունաբերական արտադրանք և այլն</w:t>
      </w:r>
      <w:r w:rsidR="002A6B36" w:rsidRPr="00254197">
        <w:rPr>
          <w:rFonts w:ascii="GHEA Grapalat" w:hAnsi="GHEA Grapalat"/>
          <w:lang w:val="hy-AM"/>
        </w:rPr>
        <w:t>։</w:t>
      </w:r>
    </w:p>
    <w:p w14:paraId="27146A47" w14:textId="42854F6B" w:rsidR="0097040F" w:rsidRPr="00254197" w:rsidRDefault="002A6B36" w:rsidP="002A6B36">
      <w:pPr>
        <w:spacing w:line="360" w:lineRule="auto"/>
        <w:ind w:firstLine="720"/>
        <w:jc w:val="both"/>
        <w:rPr>
          <w:rFonts w:ascii="GHEA Grapalat" w:hAnsi="GHEA Grapalat"/>
          <w:lang w:val="hy-AM"/>
        </w:rPr>
      </w:pPr>
      <w:r w:rsidRPr="00254197">
        <w:rPr>
          <w:rFonts w:ascii="GHEA Grapalat" w:hAnsi="GHEA Grapalat"/>
          <w:lang w:val="hy-AM"/>
        </w:rPr>
        <w:t xml:space="preserve"> Միաժամանակ, </w:t>
      </w:r>
      <w:r w:rsidR="006A0B71" w:rsidRPr="00254197">
        <w:rPr>
          <w:rFonts w:ascii="GHEA Grapalat" w:hAnsi="GHEA Grapalat"/>
          <w:lang w:val="hy-AM"/>
        </w:rPr>
        <w:t>հաշվի առնելով ստուգումների արդյունքում արձանագրված խախտումների և ընդհանուր ոլորտային ռիսկի ավելացման միտումը՝ կապված օրինակ՝ ծխախոտային արտադրատեսակների  վնասակա</w:t>
      </w:r>
      <w:r w:rsidR="0097264F" w:rsidRPr="00254197">
        <w:rPr>
          <w:rFonts w:ascii="GHEA Grapalat" w:hAnsi="GHEA Grapalat"/>
          <w:lang w:val="hy-AM"/>
        </w:rPr>
        <w:t>ր</w:t>
      </w:r>
      <w:r w:rsidR="006A0B71" w:rsidRPr="00254197">
        <w:rPr>
          <w:rFonts w:ascii="GHEA Grapalat" w:hAnsi="GHEA Grapalat"/>
          <w:lang w:val="hy-AM"/>
        </w:rPr>
        <w:t xml:space="preserve"> ազդեցության շարունակական աճի, այդ թվում՝ անչափահասների շրջանում օգտագործման հետ, ինչպես նաև թանկարժեք մետաղների շուկայում հաճախ հանդիպող չարաշահումների արձանագրման հետ և այլն, </w:t>
      </w:r>
      <w:r w:rsidR="00FB7A16" w:rsidRPr="00254197">
        <w:rPr>
          <w:rFonts w:ascii="GHEA Grapalat" w:hAnsi="GHEA Grapalat"/>
          <w:lang w:val="hy-AM"/>
        </w:rPr>
        <w:t>այնպիսի ոլորտներում, ինչպիսիք են</w:t>
      </w:r>
      <w:r w:rsidR="00997E61" w:rsidRPr="00254197">
        <w:rPr>
          <w:rFonts w:ascii="GHEA Grapalat" w:hAnsi="GHEA Grapalat"/>
          <w:lang w:val="hy-AM"/>
        </w:rPr>
        <w:t xml:space="preserve"> օրինակ</w:t>
      </w:r>
      <w:r w:rsidR="00FB7A16" w:rsidRPr="00254197">
        <w:rPr>
          <w:rFonts w:ascii="GHEA Grapalat" w:hAnsi="GHEA Grapalat"/>
          <w:lang w:val="hy-AM"/>
        </w:rPr>
        <w:t xml:space="preserve">՝ </w:t>
      </w:r>
      <w:r w:rsidR="00997E61" w:rsidRPr="00254197">
        <w:rPr>
          <w:rFonts w:ascii="GHEA Grapalat" w:hAnsi="GHEA Grapalat"/>
          <w:lang w:val="hy-AM"/>
        </w:rPr>
        <w:t>ցածրավոլտ սարքավորումնե</w:t>
      </w:r>
      <w:r w:rsidR="00FB7A16" w:rsidRPr="00254197">
        <w:rPr>
          <w:rFonts w:ascii="GHEA Grapalat" w:hAnsi="GHEA Grapalat"/>
          <w:lang w:val="hy-AM"/>
        </w:rPr>
        <w:t>ր</w:t>
      </w:r>
      <w:r w:rsidR="00997E61" w:rsidRPr="00254197">
        <w:rPr>
          <w:rFonts w:ascii="GHEA Grapalat" w:hAnsi="GHEA Grapalat"/>
          <w:lang w:val="hy-AM"/>
        </w:rPr>
        <w:t xml:space="preserve">ի </w:t>
      </w:r>
      <w:r w:rsidR="00FB7A16" w:rsidRPr="00254197">
        <w:rPr>
          <w:rFonts w:ascii="GHEA Grapalat" w:hAnsi="GHEA Grapalat"/>
          <w:lang w:val="hy-AM"/>
        </w:rPr>
        <w:t>անվտանգությունը</w:t>
      </w:r>
      <w:r w:rsidR="00997E61" w:rsidRPr="00254197">
        <w:rPr>
          <w:rFonts w:ascii="GHEA Grapalat" w:hAnsi="GHEA Grapalat"/>
          <w:lang w:val="hy-AM"/>
        </w:rPr>
        <w:t xml:space="preserve">, </w:t>
      </w:r>
      <w:r w:rsidR="00794920" w:rsidRPr="00254197">
        <w:rPr>
          <w:rFonts w:ascii="GHEA Grapalat" w:hAnsi="GHEA Grapalat"/>
          <w:lang w:val="hy-AM"/>
        </w:rPr>
        <w:t xml:space="preserve"> ծխախոտայի</w:t>
      </w:r>
      <w:r w:rsidR="00966CB2" w:rsidRPr="00254197">
        <w:rPr>
          <w:rFonts w:ascii="GHEA Grapalat" w:hAnsi="GHEA Grapalat"/>
          <w:lang w:val="hy-AM"/>
        </w:rPr>
        <w:t xml:space="preserve">ն արտադրատեսակների, դրանց </w:t>
      </w:r>
      <w:proofErr w:type="spellStart"/>
      <w:r w:rsidR="00966CB2" w:rsidRPr="00254197">
        <w:rPr>
          <w:rFonts w:ascii="GHEA Grapalat" w:hAnsi="GHEA Grapalat"/>
          <w:lang w:val="hy-AM"/>
        </w:rPr>
        <w:t>պատկա</w:t>
      </w:r>
      <w:r w:rsidR="00794920" w:rsidRPr="00254197">
        <w:rPr>
          <w:rFonts w:ascii="GHEA Grapalat" w:hAnsi="GHEA Grapalat"/>
          <w:lang w:val="hy-AM"/>
        </w:rPr>
        <w:t>նելիքների</w:t>
      </w:r>
      <w:proofErr w:type="spellEnd"/>
      <w:r w:rsidR="00794920" w:rsidRPr="00254197">
        <w:rPr>
          <w:rFonts w:ascii="GHEA Grapalat" w:hAnsi="GHEA Grapalat"/>
          <w:lang w:val="hy-AM"/>
        </w:rPr>
        <w:t>, ծխախոտային արտադրատեսակների փոխարինիչների և նմանակներ</w:t>
      </w:r>
      <w:r w:rsidR="00FB7A16" w:rsidRPr="00254197">
        <w:rPr>
          <w:rFonts w:ascii="GHEA Grapalat" w:hAnsi="GHEA Grapalat"/>
          <w:lang w:val="hy-AM"/>
        </w:rPr>
        <w:t>ը</w:t>
      </w:r>
      <w:r w:rsidR="00794920" w:rsidRPr="00254197">
        <w:rPr>
          <w:rFonts w:ascii="GHEA Grapalat" w:hAnsi="GHEA Grapalat"/>
          <w:lang w:val="hy-AM"/>
        </w:rPr>
        <w:t xml:space="preserve">, </w:t>
      </w:r>
      <w:r w:rsidR="00997E61" w:rsidRPr="00254197">
        <w:rPr>
          <w:rFonts w:ascii="GHEA Grapalat" w:hAnsi="GHEA Grapalat"/>
          <w:lang w:val="hy-AM"/>
        </w:rPr>
        <w:t xml:space="preserve">տեխնիկական միջոցների էլեկտրամագնիսական </w:t>
      </w:r>
      <w:r w:rsidR="00FB7A16" w:rsidRPr="00254197">
        <w:rPr>
          <w:rFonts w:ascii="GHEA Grapalat" w:hAnsi="GHEA Grapalat"/>
          <w:lang w:val="hy-AM"/>
        </w:rPr>
        <w:t>համատեղելիությունը</w:t>
      </w:r>
      <w:r w:rsidR="00876116" w:rsidRPr="00254197">
        <w:rPr>
          <w:rFonts w:ascii="GHEA Grapalat" w:hAnsi="GHEA Grapalat"/>
          <w:lang w:val="hy-AM"/>
        </w:rPr>
        <w:t xml:space="preserve">, թանկարժեք մետաղներից պատրաստված իրերի </w:t>
      </w:r>
      <w:proofErr w:type="spellStart"/>
      <w:r w:rsidR="00876116" w:rsidRPr="00254197">
        <w:rPr>
          <w:rFonts w:ascii="GHEA Grapalat" w:hAnsi="GHEA Grapalat"/>
          <w:lang w:val="hy-AM"/>
        </w:rPr>
        <w:t>հարգորոշում</w:t>
      </w:r>
      <w:r w:rsidR="00FB7A16" w:rsidRPr="00254197">
        <w:rPr>
          <w:rFonts w:ascii="GHEA Grapalat" w:hAnsi="GHEA Grapalat"/>
          <w:lang w:val="hy-AM"/>
        </w:rPr>
        <w:t>ը</w:t>
      </w:r>
      <w:proofErr w:type="spellEnd"/>
      <w:r w:rsidR="00876116" w:rsidRPr="00254197">
        <w:rPr>
          <w:rFonts w:ascii="GHEA Grapalat" w:hAnsi="GHEA Grapalat"/>
          <w:lang w:val="hy-AM"/>
        </w:rPr>
        <w:t xml:space="preserve"> և </w:t>
      </w:r>
      <w:proofErr w:type="spellStart"/>
      <w:r w:rsidR="00876116" w:rsidRPr="00254197">
        <w:rPr>
          <w:rFonts w:ascii="GHEA Grapalat" w:hAnsi="GHEA Grapalat"/>
          <w:lang w:val="hy-AM"/>
        </w:rPr>
        <w:t>հարգադրոշում</w:t>
      </w:r>
      <w:r w:rsidR="00FB7A16" w:rsidRPr="00254197">
        <w:rPr>
          <w:rFonts w:ascii="GHEA Grapalat" w:hAnsi="GHEA Grapalat"/>
          <w:lang w:val="hy-AM"/>
        </w:rPr>
        <w:t>ը</w:t>
      </w:r>
      <w:proofErr w:type="spellEnd"/>
      <w:r w:rsidR="00FB7A16" w:rsidRPr="00254197">
        <w:rPr>
          <w:rFonts w:ascii="GHEA Grapalat" w:hAnsi="GHEA Grapalat"/>
          <w:lang w:val="hy-AM"/>
        </w:rPr>
        <w:t xml:space="preserve">՝ ոլորտային ռիսկի </w:t>
      </w:r>
      <w:r w:rsidR="00D15A21" w:rsidRPr="00254197">
        <w:rPr>
          <w:rFonts w:ascii="GHEA Grapalat" w:hAnsi="GHEA Grapalat"/>
          <w:lang w:val="hy-AM"/>
        </w:rPr>
        <w:t>հաշվարկման միավորները /</w:t>
      </w:r>
      <w:proofErr w:type="spellStart"/>
      <w:r w:rsidR="00D15A21" w:rsidRPr="00254197">
        <w:rPr>
          <w:rFonts w:ascii="GHEA Grapalat" w:hAnsi="GHEA Grapalat"/>
          <w:lang w:val="hy-AM"/>
        </w:rPr>
        <w:t>չափորոշիչները</w:t>
      </w:r>
      <w:proofErr w:type="spellEnd"/>
      <w:r w:rsidR="00FB7A16" w:rsidRPr="00254197">
        <w:rPr>
          <w:rFonts w:ascii="GHEA Grapalat" w:hAnsi="GHEA Grapalat"/>
          <w:lang w:val="hy-AM"/>
        </w:rPr>
        <w:t xml:space="preserve">/ </w:t>
      </w:r>
      <w:r w:rsidR="00254197">
        <w:rPr>
          <w:rFonts w:ascii="GHEA Grapalat" w:hAnsi="GHEA Grapalat"/>
          <w:lang w:val="hy-AM"/>
        </w:rPr>
        <w:t>բարձրացվել են երկուսից ավել միավորով</w:t>
      </w:r>
      <w:r w:rsidR="006A0B71" w:rsidRPr="00254197">
        <w:rPr>
          <w:rFonts w:ascii="GHEA Grapalat" w:hAnsi="GHEA Grapalat"/>
          <w:lang w:val="hy-AM"/>
        </w:rPr>
        <w:t>։</w:t>
      </w:r>
      <w:r w:rsidR="00794920" w:rsidRPr="00254197">
        <w:rPr>
          <w:rFonts w:ascii="GHEA Grapalat" w:hAnsi="GHEA Grapalat"/>
          <w:lang w:val="hy-AM"/>
        </w:rPr>
        <w:t xml:space="preserve"> </w:t>
      </w:r>
    </w:p>
    <w:p w14:paraId="04DA768A" w14:textId="59154BAB" w:rsidR="00E160E4" w:rsidRPr="00254197" w:rsidRDefault="003807FE" w:rsidP="002A6B36">
      <w:pPr>
        <w:spacing w:line="360" w:lineRule="auto"/>
        <w:ind w:firstLine="720"/>
        <w:jc w:val="both"/>
        <w:rPr>
          <w:rFonts w:ascii="GHEA Grapalat" w:hAnsi="GHEA Grapalat"/>
          <w:lang w:val="hy-AM"/>
        </w:rPr>
      </w:pPr>
      <w:r w:rsidRPr="00254197">
        <w:rPr>
          <w:rFonts w:ascii="GHEA Grapalat" w:hAnsi="GHEA Grapalat"/>
          <w:color w:val="000000"/>
          <w:shd w:val="clear" w:color="auto" w:fill="FFFFFF"/>
          <w:lang w:val="hy-AM"/>
        </w:rPr>
        <w:t xml:space="preserve"> </w:t>
      </w:r>
      <w:r w:rsidRPr="00254197">
        <w:rPr>
          <w:rFonts w:ascii="GHEA Grapalat" w:hAnsi="GHEA Grapalat"/>
          <w:lang w:val="hy-AM"/>
        </w:rPr>
        <w:t>Բացի այդ, Նախագծով առաջարկվում է տնտեսավարող սուբյեկտի գործունեության վերլուծության աղյուսակում որպես առանձին ցուցանիշներ առանձնացնել «արտադրող երկ</w:t>
      </w:r>
      <w:r w:rsidR="00254197">
        <w:rPr>
          <w:rFonts w:ascii="GHEA Grapalat" w:hAnsi="GHEA Grapalat"/>
          <w:lang w:val="hy-AM"/>
        </w:rPr>
        <w:t>իր</w:t>
      </w:r>
      <w:r w:rsidRPr="00254197">
        <w:rPr>
          <w:rFonts w:ascii="GHEA Grapalat" w:hAnsi="GHEA Grapalat"/>
          <w:lang w:val="hy-AM"/>
        </w:rPr>
        <w:t>» և «անվտանգության և որակի համակարգ» սահմանումները, որպես առանձին ռիսկ առաջա</w:t>
      </w:r>
      <w:r w:rsidR="0097040F" w:rsidRPr="00254197">
        <w:rPr>
          <w:rFonts w:ascii="GHEA Grapalat" w:hAnsi="GHEA Grapalat"/>
          <w:lang w:val="hy-AM"/>
        </w:rPr>
        <w:t>ցնող գործոններ, հիմք ընդունելով այն հանգամանքը</w:t>
      </w:r>
      <w:r w:rsidR="002A6B36" w:rsidRPr="00254197">
        <w:rPr>
          <w:rFonts w:ascii="GHEA Grapalat" w:hAnsi="GHEA Grapalat"/>
          <w:lang w:val="hy-AM"/>
        </w:rPr>
        <w:t xml:space="preserve">, որ </w:t>
      </w:r>
      <w:r w:rsidR="0097040F" w:rsidRPr="00254197">
        <w:rPr>
          <w:rFonts w:ascii="GHEA Grapalat" w:hAnsi="GHEA Grapalat"/>
          <w:lang w:val="hy-AM"/>
        </w:rPr>
        <w:t>ISՕ կամ որակի հսկման համակարգի առ</w:t>
      </w:r>
      <w:r w:rsidR="002A6B36" w:rsidRPr="00254197">
        <w:rPr>
          <w:rFonts w:ascii="GHEA Grapalat" w:hAnsi="GHEA Grapalat"/>
          <w:lang w:val="hy-AM"/>
        </w:rPr>
        <w:t xml:space="preserve">կայությունն ինքնին </w:t>
      </w:r>
      <w:r w:rsidR="0097040F" w:rsidRPr="00254197">
        <w:rPr>
          <w:rFonts w:ascii="GHEA Grapalat" w:hAnsi="GHEA Grapalat"/>
          <w:lang w:val="hy-AM"/>
        </w:rPr>
        <w:t>անվտանգությ</w:t>
      </w:r>
      <w:r w:rsidR="002A6B36" w:rsidRPr="00254197">
        <w:rPr>
          <w:rFonts w:ascii="GHEA Grapalat" w:hAnsi="GHEA Grapalat"/>
          <w:lang w:val="hy-AM"/>
        </w:rPr>
        <w:t>ու</w:t>
      </w:r>
      <w:r w:rsidR="0097040F" w:rsidRPr="00254197">
        <w:rPr>
          <w:rFonts w:ascii="GHEA Grapalat" w:hAnsi="GHEA Grapalat"/>
          <w:lang w:val="hy-AM"/>
        </w:rPr>
        <w:t>ն</w:t>
      </w:r>
      <w:r w:rsidR="002A6B36" w:rsidRPr="00254197">
        <w:rPr>
          <w:rFonts w:ascii="GHEA Grapalat" w:hAnsi="GHEA Grapalat"/>
          <w:lang w:val="hy-AM"/>
        </w:rPr>
        <w:t>ը</w:t>
      </w:r>
      <w:r w:rsidR="0097040F" w:rsidRPr="00254197">
        <w:rPr>
          <w:rFonts w:ascii="GHEA Grapalat" w:hAnsi="GHEA Grapalat"/>
          <w:lang w:val="hy-AM"/>
        </w:rPr>
        <w:t xml:space="preserve"> և որակ</w:t>
      </w:r>
      <w:r w:rsidR="002A6B36" w:rsidRPr="00254197">
        <w:rPr>
          <w:rFonts w:ascii="GHEA Grapalat" w:hAnsi="GHEA Grapalat"/>
          <w:lang w:val="hy-AM"/>
        </w:rPr>
        <w:t>ը բնութագրող ցուցանիշներ են</w:t>
      </w:r>
      <w:r w:rsidR="0097040F" w:rsidRPr="00254197">
        <w:rPr>
          <w:rFonts w:ascii="GHEA Grapalat" w:hAnsi="GHEA Grapalat"/>
          <w:lang w:val="hy-AM"/>
        </w:rPr>
        <w:t xml:space="preserve">, </w:t>
      </w:r>
      <w:proofErr w:type="spellStart"/>
      <w:r w:rsidRPr="00254197">
        <w:rPr>
          <w:rFonts w:ascii="GHEA Grapalat" w:hAnsi="GHEA Grapalat"/>
          <w:lang w:val="hy-AM"/>
        </w:rPr>
        <w:t>հետևաբար</w:t>
      </w:r>
      <w:proofErr w:type="spellEnd"/>
      <w:r w:rsidRPr="00254197">
        <w:rPr>
          <w:rFonts w:ascii="GHEA Grapalat" w:hAnsi="GHEA Grapalat"/>
          <w:lang w:val="hy-AM"/>
        </w:rPr>
        <w:t xml:space="preserve"> վերահսկողության, ստուգումների ընթացքում վերոնշյալ համակարգ</w:t>
      </w:r>
      <w:r w:rsidR="002A6B36" w:rsidRPr="00254197">
        <w:rPr>
          <w:rFonts w:ascii="GHEA Grapalat" w:hAnsi="GHEA Grapalat"/>
          <w:lang w:val="hy-AM"/>
        </w:rPr>
        <w:t>երի</w:t>
      </w:r>
      <w:r w:rsidRPr="00254197">
        <w:rPr>
          <w:rFonts w:ascii="GHEA Grapalat" w:hAnsi="GHEA Grapalat"/>
          <w:lang w:val="hy-AM"/>
        </w:rPr>
        <w:t xml:space="preserve"> առկայության մասին տվյալները պետք է պարբերաբար ներառվեն ռիսկերի հաշվարկման մեթոդաբանության համակարգում:</w:t>
      </w:r>
    </w:p>
    <w:p w14:paraId="589B78E6" w14:textId="38425E61" w:rsidR="003807FE" w:rsidRPr="00254197" w:rsidRDefault="003807FE" w:rsidP="002A6B36">
      <w:pPr>
        <w:spacing w:line="360" w:lineRule="auto"/>
        <w:ind w:firstLine="720"/>
        <w:jc w:val="both"/>
        <w:rPr>
          <w:rFonts w:ascii="GHEA Grapalat" w:hAnsi="GHEA Grapalat"/>
          <w:lang w:val="hy-AM"/>
        </w:rPr>
      </w:pPr>
      <w:r w:rsidRPr="00254197">
        <w:rPr>
          <w:rFonts w:ascii="GHEA Grapalat" w:hAnsi="GHEA Grapalat"/>
          <w:lang w:val="hy-AM"/>
        </w:rPr>
        <w:lastRenderedPageBreak/>
        <w:t xml:space="preserve">Միաժամանակ, </w:t>
      </w:r>
      <w:r w:rsidR="0097040F" w:rsidRPr="00254197">
        <w:rPr>
          <w:rFonts w:ascii="GHEA Grapalat" w:hAnsi="GHEA Grapalat"/>
          <w:lang w:val="hy-AM"/>
        </w:rPr>
        <w:t>հաշվի առնելով այն հանգամանքը</w:t>
      </w:r>
      <w:r w:rsidRPr="00254197">
        <w:rPr>
          <w:rFonts w:ascii="GHEA Grapalat" w:hAnsi="GHEA Grapalat"/>
          <w:lang w:val="hy-AM"/>
        </w:rPr>
        <w:t xml:space="preserve">, որ </w:t>
      </w:r>
      <w:proofErr w:type="spellStart"/>
      <w:r w:rsidRPr="00254197">
        <w:rPr>
          <w:rFonts w:ascii="GHEA Grapalat" w:hAnsi="GHEA Grapalat"/>
          <w:lang w:val="hy-AM"/>
        </w:rPr>
        <w:t>երբևէ</w:t>
      </w:r>
      <w:proofErr w:type="spellEnd"/>
      <w:r w:rsidRPr="00254197">
        <w:rPr>
          <w:rFonts w:ascii="GHEA Grapalat" w:hAnsi="GHEA Grapalat"/>
          <w:lang w:val="hy-AM"/>
        </w:rPr>
        <w:t xml:space="preserve"> չստուգված </w:t>
      </w:r>
      <w:proofErr w:type="spellStart"/>
      <w:r w:rsidRPr="00254197">
        <w:rPr>
          <w:rFonts w:ascii="GHEA Grapalat" w:hAnsi="GHEA Grapalat"/>
          <w:lang w:val="hy-AM"/>
        </w:rPr>
        <w:t>տնտեսվարողների</w:t>
      </w:r>
      <w:proofErr w:type="spellEnd"/>
      <w:r w:rsidRPr="00254197">
        <w:rPr>
          <w:rFonts w:ascii="GHEA Grapalat" w:hAnsi="GHEA Grapalat"/>
          <w:lang w:val="hy-AM"/>
        </w:rPr>
        <w:t xml:space="preserve"> մոտ որակի հսկման համակարգի, այն է՝ ISՕ-ի առկայությունը կամ բացակայությունը ստուգելու հնարավորությունները սուղ են, </w:t>
      </w:r>
      <w:proofErr w:type="spellStart"/>
      <w:r w:rsidRPr="00254197">
        <w:rPr>
          <w:rFonts w:ascii="GHEA Grapalat" w:hAnsi="GHEA Grapalat"/>
          <w:lang w:val="hy-AM"/>
        </w:rPr>
        <w:t>հետևաբար</w:t>
      </w:r>
      <w:proofErr w:type="spellEnd"/>
      <w:r w:rsidRPr="00254197">
        <w:rPr>
          <w:rFonts w:ascii="GHEA Grapalat" w:hAnsi="GHEA Grapalat"/>
          <w:lang w:val="hy-AM"/>
        </w:rPr>
        <w:t xml:space="preserve"> առաջարկ</w:t>
      </w:r>
      <w:r w:rsidR="0097040F" w:rsidRPr="00254197">
        <w:rPr>
          <w:rFonts w:ascii="GHEA Grapalat" w:hAnsi="GHEA Grapalat"/>
          <w:lang w:val="hy-AM"/>
        </w:rPr>
        <w:t>վում է որպես առանձին ցուցանիշ սահմանել</w:t>
      </w:r>
      <w:r w:rsidRPr="00254197">
        <w:rPr>
          <w:rFonts w:ascii="GHEA Grapalat" w:hAnsi="GHEA Grapalat"/>
          <w:lang w:val="hy-AM"/>
        </w:rPr>
        <w:t xml:space="preserve"> </w:t>
      </w:r>
      <w:r w:rsidR="002A6B36" w:rsidRPr="00254197">
        <w:rPr>
          <w:rFonts w:ascii="GHEA Grapalat" w:hAnsi="GHEA Grapalat"/>
          <w:lang w:val="hy-AM"/>
        </w:rPr>
        <w:t xml:space="preserve">նաև </w:t>
      </w:r>
      <w:r w:rsidRPr="00254197">
        <w:rPr>
          <w:rFonts w:ascii="GHEA Grapalat" w:hAnsi="GHEA Grapalat"/>
          <w:lang w:val="hy-AM"/>
        </w:rPr>
        <w:t xml:space="preserve">«Արտադրող </w:t>
      </w:r>
      <w:proofErr w:type="spellStart"/>
      <w:r w:rsidRPr="00254197">
        <w:rPr>
          <w:rFonts w:ascii="GHEA Grapalat" w:hAnsi="GHEA Grapalat"/>
          <w:lang w:val="hy-AM"/>
        </w:rPr>
        <w:t>երկիր</w:t>
      </w:r>
      <w:r w:rsidR="002A6B36" w:rsidRPr="00254197">
        <w:rPr>
          <w:rFonts w:ascii="GHEA Grapalat" w:hAnsi="GHEA Grapalat"/>
          <w:lang w:val="hy-AM"/>
        </w:rPr>
        <w:t>ներ</w:t>
      </w:r>
      <w:proofErr w:type="spellEnd"/>
      <w:r w:rsidRPr="00254197">
        <w:rPr>
          <w:rFonts w:ascii="GHEA Grapalat" w:hAnsi="GHEA Grapalat"/>
          <w:lang w:val="hy-AM"/>
        </w:rPr>
        <w:t>»</w:t>
      </w:r>
      <w:r w:rsidR="0097040F" w:rsidRPr="00254197">
        <w:rPr>
          <w:rFonts w:ascii="GHEA Grapalat" w:hAnsi="GHEA Grapalat"/>
          <w:lang w:val="hy-AM"/>
        </w:rPr>
        <w:t>-ը, որ</w:t>
      </w:r>
      <w:r w:rsidR="00AF770B" w:rsidRPr="00254197">
        <w:rPr>
          <w:rFonts w:ascii="GHEA Grapalat" w:hAnsi="GHEA Grapalat"/>
          <w:lang w:val="hy-AM"/>
        </w:rPr>
        <w:t xml:space="preserve">ոնց </w:t>
      </w:r>
      <w:r w:rsidR="0097040F" w:rsidRPr="00254197">
        <w:rPr>
          <w:rFonts w:ascii="GHEA Grapalat" w:hAnsi="GHEA Grapalat"/>
          <w:lang w:val="hy-AM"/>
        </w:rPr>
        <w:t xml:space="preserve">տարանջատման համար հիմք է հանդիսացել </w:t>
      </w:r>
      <w:r w:rsidRPr="00254197">
        <w:rPr>
          <w:rFonts w:ascii="GHEA Grapalat" w:hAnsi="GHEA Grapalat"/>
          <w:lang w:val="hy-AM"/>
        </w:rPr>
        <w:t>ՄԱԿ-ի 2022 թվականի աշխարհի բոլոր երկրներ</w:t>
      </w:r>
      <w:r w:rsidR="0097040F" w:rsidRPr="00254197">
        <w:rPr>
          <w:rFonts w:ascii="GHEA Grapalat" w:hAnsi="GHEA Grapalat"/>
          <w:lang w:val="hy-AM"/>
        </w:rPr>
        <w:t>ի</w:t>
      </w:r>
      <w:r w:rsidRPr="00254197">
        <w:rPr>
          <w:rFonts w:ascii="GHEA Grapalat" w:hAnsi="GHEA Grapalat"/>
          <w:lang w:val="hy-AM"/>
        </w:rPr>
        <w:t xml:space="preserve"> դասակարգման սանդղակ</w:t>
      </w:r>
      <w:r w:rsidR="0097040F" w:rsidRPr="00254197">
        <w:rPr>
          <w:rFonts w:ascii="GHEA Grapalat" w:hAnsi="GHEA Grapalat"/>
          <w:lang w:val="hy-AM"/>
        </w:rPr>
        <w:t>ը</w:t>
      </w:r>
      <w:r w:rsidR="00B923D7" w:rsidRPr="00254197">
        <w:rPr>
          <w:rFonts w:ascii="GHEA Grapalat" w:hAnsi="GHEA Grapalat"/>
          <w:lang w:val="hy-AM"/>
        </w:rPr>
        <w:t xml:space="preserve"> և Համաշխարհային բանկի կողմից մեկ շնչի հաշվով համախառն ազգային եկամուտի </w:t>
      </w:r>
      <w:proofErr w:type="spellStart"/>
      <w:r w:rsidR="00B923D7" w:rsidRPr="00254197">
        <w:rPr>
          <w:rFonts w:ascii="GHEA Grapalat" w:hAnsi="GHEA Grapalat"/>
          <w:lang w:val="hy-AM"/>
        </w:rPr>
        <w:t>հաշվարկմամբ</w:t>
      </w:r>
      <w:proofErr w:type="spellEnd"/>
      <w:r w:rsidR="00B923D7" w:rsidRPr="00254197">
        <w:rPr>
          <w:rFonts w:ascii="GHEA Grapalat" w:hAnsi="GHEA Grapalat"/>
          <w:lang w:val="hy-AM"/>
        </w:rPr>
        <w:t xml:space="preserve"> կատարված դասակարգման սանդղակը</w:t>
      </w:r>
      <w:r w:rsidR="00AF770B" w:rsidRPr="00254197">
        <w:rPr>
          <w:rFonts w:ascii="GHEA Grapalat" w:hAnsi="GHEA Grapalat"/>
          <w:lang w:val="hy-AM"/>
        </w:rPr>
        <w:t>՝ համաձայն որ</w:t>
      </w:r>
      <w:r w:rsidR="00B923D7" w:rsidRPr="00254197">
        <w:rPr>
          <w:rFonts w:ascii="GHEA Grapalat" w:hAnsi="GHEA Grapalat"/>
          <w:lang w:val="hy-AM"/>
        </w:rPr>
        <w:t>ոնց</w:t>
      </w:r>
      <w:r w:rsidR="00AF770B" w:rsidRPr="00254197">
        <w:rPr>
          <w:rFonts w:ascii="GHEA Grapalat" w:hAnsi="GHEA Grapalat"/>
          <w:lang w:val="hy-AM"/>
        </w:rPr>
        <w:t xml:space="preserve"> </w:t>
      </w:r>
      <w:proofErr w:type="spellStart"/>
      <w:r w:rsidRPr="00254197">
        <w:rPr>
          <w:rFonts w:ascii="GHEA Grapalat" w:hAnsi="GHEA Grapalat"/>
          <w:lang w:val="hy-AM"/>
        </w:rPr>
        <w:t>տարանջատում</w:t>
      </w:r>
      <w:r w:rsidR="00AF770B" w:rsidRPr="00254197">
        <w:rPr>
          <w:rFonts w:ascii="GHEA Grapalat" w:hAnsi="GHEA Grapalat"/>
          <w:lang w:val="hy-AM"/>
        </w:rPr>
        <w:t>ն</w:t>
      </w:r>
      <w:proofErr w:type="spellEnd"/>
      <w:r w:rsidR="00AF770B" w:rsidRPr="00254197">
        <w:rPr>
          <w:rFonts w:ascii="GHEA Grapalat" w:hAnsi="GHEA Grapalat"/>
          <w:lang w:val="hy-AM"/>
        </w:rPr>
        <w:t xml:space="preserve"> իրականացվ</w:t>
      </w:r>
      <w:r w:rsidR="00B923D7" w:rsidRPr="00254197">
        <w:rPr>
          <w:rFonts w:ascii="GHEA Grapalat" w:hAnsi="GHEA Grapalat"/>
          <w:lang w:val="hy-AM"/>
        </w:rPr>
        <w:t>ել</w:t>
      </w:r>
      <w:r w:rsidR="00AF770B" w:rsidRPr="00254197">
        <w:rPr>
          <w:rFonts w:ascii="GHEA Grapalat" w:hAnsi="GHEA Grapalat"/>
          <w:lang w:val="hy-AM"/>
        </w:rPr>
        <w:t xml:space="preserve"> է </w:t>
      </w:r>
      <w:r w:rsidRPr="00254197">
        <w:rPr>
          <w:rFonts w:ascii="GHEA Grapalat" w:hAnsi="GHEA Grapalat"/>
          <w:lang w:val="hy-AM"/>
        </w:rPr>
        <w:t>երեք լայն կատեգորիաներ</w:t>
      </w:r>
      <w:r w:rsidR="00AF770B" w:rsidRPr="00254197">
        <w:rPr>
          <w:rFonts w:ascii="GHEA Grapalat" w:hAnsi="GHEA Grapalat"/>
          <w:lang w:val="hy-AM"/>
        </w:rPr>
        <w:t>ի՝</w:t>
      </w:r>
      <w:r w:rsidRPr="00254197">
        <w:rPr>
          <w:rFonts w:ascii="GHEA Grapalat" w:hAnsi="GHEA Grapalat"/>
          <w:lang w:val="hy-AM"/>
        </w:rPr>
        <w:t xml:space="preserve"> զարգացած երկրներ՝ համապատասխանաբար ցածր ռիսկայնություն ունեցող, </w:t>
      </w:r>
      <w:r w:rsidR="00B923D7" w:rsidRPr="00254197">
        <w:rPr>
          <w:rFonts w:ascii="GHEA Grapalat" w:hAnsi="GHEA Grapalat"/>
          <w:lang w:val="hy-AM"/>
        </w:rPr>
        <w:t>ԵԱՏՄ</w:t>
      </w:r>
      <w:r w:rsidRPr="00254197">
        <w:rPr>
          <w:rFonts w:ascii="GHEA Grapalat" w:hAnsi="GHEA Grapalat"/>
          <w:lang w:val="hy-AM"/>
        </w:rPr>
        <w:t xml:space="preserve"> երկրներ և զարգացող երկրներ</w:t>
      </w:r>
      <w:r w:rsidR="00B923D7" w:rsidRPr="00254197">
        <w:rPr>
          <w:rFonts w:ascii="GHEA Grapalat" w:hAnsi="GHEA Grapalat"/>
          <w:lang w:val="hy-AM"/>
        </w:rPr>
        <w:t>:</w:t>
      </w:r>
    </w:p>
    <w:p w14:paraId="1D71F3CF" w14:textId="77777777" w:rsidR="003E22A9" w:rsidRPr="00254197" w:rsidRDefault="003E22A9" w:rsidP="00935824">
      <w:pPr>
        <w:spacing w:line="360" w:lineRule="auto"/>
        <w:jc w:val="both"/>
        <w:rPr>
          <w:rFonts w:ascii="GHEA Grapalat" w:hAnsi="GHEA Grapalat"/>
          <w:lang w:val="hy-AM"/>
        </w:rPr>
      </w:pPr>
    </w:p>
    <w:p w14:paraId="1F60EE29" w14:textId="05604664" w:rsidR="00D91104" w:rsidRPr="00254197" w:rsidRDefault="009876E7" w:rsidP="00EE2F92">
      <w:pPr>
        <w:pStyle w:val="ListParagraph"/>
        <w:tabs>
          <w:tab w:val="left" w:pos="630"/>
        </w:tabs>
        <w:spacing w:after="0" w:line="360" w:lineRule="auto"/>
        <w:ind w:left="567" w:right="-151"/>
        <w:jc w:val="both"/>
        <w:rPr>
          <w:rFonts w:ascii="GHEA Grapalat" w:hAnsi="GHEA Grapalat"/>
          <w:b/>
          <w:sz w:val="24"/>
          <w:szCs w:val="24"/>
          <w:lang w:val="hy-AM"/>
        </w:rPr>
      </w:pPr>
      <w:r w:rsidRPr="00254197">
        <w:rPr>
          <w:rFonts w:ascii="GHEA Grapalat" w:hAnsi="GHEA Grapalat"/>
          <w:b/>
          <w:sz w:val="24"/>
          <w:szCs w:val="24"/>
          <w:lang w:val="hy-AM"/>
        </w:rPr>
        <w:t>3</w:t>
      </w:r>
      <w:r w:rsidR="00725ACD" w:rsidRPr="00254197">
        <w:rPr>
          <w:rFonts w:ascii="GHEA Grapalat" w:hAnsi="GHEA Grapalat"/>
          <w:b/>
          <w:sz w:val="24"/>
          <w:szCs w:val="24"/>
          <w:lang w:val="hy-AM"/>
        </w:rPr>
        <w:t xml:space="preserve">. </w:t>
      </w:r>
      <w:r w:rsidR="00D91104" w:rsidRPr="00254197">
        <w:rPr>
          <w:rFonts w:ascii="GHEA Grapalat" w:hAnsi="GHEA Grapalat"/>
          <w:b/>
          <w:sz w:val="24"/>
          <w:szCs w:val="24"/>
          <w:lang w:val="hy-AM"/>
        </w:rPr>
        <w:t>Կարգավորման նպատակ</w:t>
      </w:r>
      <w:r w:rsidR="0097264F" w:rsidRPr="00254197">
        <w:rPr>
          <w:rFonts w:ascii="GHEA Grapalat" w:hAnsi="GHEA Grapalat"/>
          <w:b/>
          <w:sz w:val="24"/>
          <w:szCs w:val="24"/>
          <w:lang w:val="hy-AM"/>
        </w:rPr>
        <w:t>ները</w:t>
      </w:r>
      <w:r w:rsidR="001164FB" w:rsidRPr="00254197">
        <w:rPr>
          <w:rFonts w:ascii="GHEA Grapalat" w:hAnsi="GHEA Grapalat"/>
          <w:b/>
          <w:sz w:val="24"/>
          <w:szCs w:val="24"/>
          <w:lang w:val="hy-AM"/>
        </w:rPr>
        <w:t>.</w:t>
      </w:r>
    </w:p>
    <w:p w14:paraId="43CAC4D8" w14:textId="6B86C243" w:rsidR="00E160E4" w:rsidRPr="00254197" w:rsidRDefault="00951AB1" w:rsidP="00E160E4">
      <w:pPr>
        <w:spacing w:line="360" w:lineRule="auto"/>
        <w:ind w:right="-151" w:firstLine="567"/>
        <w:jc w:val="both"/>
        <w:rPr>
          <w:rFonts w:ascii="GHEA Grapalat" w:eastAsia="Calibri" w:hAnsi="GHEA Grapalat"/>
          <w:lang w:val="hy-AM"/>
        </w:rPr>
      </w:pPr>
      <w:r w:rsidRPr="00254197">
        <w:rPr>
          <w:rFonts w:ascii="GHEA Grapalat" w:eastAsia="Calibri" w:hAnsi="GHEA Grapalat"/>
          <w:lang w:val="hy-AM"/>
        </w:rPr>
        <w:t xml:space="preserve"> Նախագծով </w:t>
      </w:r>
      <w:r w:rsidR="00463AA4" w:rsidRPr="00254197">
        <w:rPr>
          <w:rFonts w:ascii="GHEA Grapalat" w:eastAsia="Calibri" w:hAnsi="GHEA Grapalat"/>
          <w:lang w:val="hy-AM"/>
        </w:rPr>
        <w:t xml:space="preserve">նախատեսվում է փոփոխություններ և լրացումներ կատարել Հայաստանի Հանրապետության կառավարության 2019 թվականի նոյեմբերի 19-ի N 1570-Ն որոշման մեջ՝ </w:t>
      </w:r>
      <w:r w:rsidR="003838C6" w:rsidRPr="00254197">
        <w:rPr>
          <w:rFonts w:ascii="GHEA Grapalat" w:eastAsia="Calibri" w:hAnsi="GHEA Grapalat"/>
          <w:lang w:val="hy-AM"/>
        </w:rPr>
        <w:t xml:space="preserve">մասնավորապես, կանոնակարգել </w:t>
      </w:r>
      <w:r w:rsidR="002E59BA" w:rsidRPr="00254197">
        <w:rPr>
          <w:rFonts w:ascii="GHEA Grapalat" w:eastAsia="Calibri" w:hAnsi="GHEA Grapalat"/>
          <w:lang w:val="hy-AM"/>
        </w:rPr>
        <w:t xml:space="preserve">առաջին անգամ ստուգվող </w:t>
      </w:r>
      <w:proofErr w:type="spellStart"/>
      <w:r w:rsidR="002E59BA" w:rsidRPr="00254197">
        <w:rPr>
          <w:rFonts w:ascii="GHEA Grapalat" w:eastAsia="Calibri" w:hAnsi="GHEA Grapalat"/>
          <w:lang w:val="hy-AM"/>
        </w:rPr>
        <w:t>տնտեսավարողների</w:t>
      </w:r>
      <w:proofErr w:type="spellEnd"/>
      <w:r w:rsidR="003838C6" w:rsidRPr="00254197">
        <w:rPr>
          <w:rFonts w:ascii="GHEA Grapalat" w:eastAsia="Calibri" w:hAnsi="GHEA Grapalat"/>
          <w:lang w:val="hy-AM"/>
        </w:rPr>
        <w:t xml:space="preserve"> մոտ անհատական ռիսկի հաշվարկումը</w:t>
      </w:r>
      <w:r w:rsidR="002E59BA" w:rsidRPr="00254197">
        <w:rPr>
          <w:rFonts w:ascii="GHEA Grapalat" w:eastAsia="Calibri" w:hAnsi="GHEA Grapalat"/>
          <w:lang w:val="hy-AM"/>
        </w:rPr>
        <w:t>, ինչպես նաև</w:t>
      </w:r>
      <w:r w:rsidR="008F6045" w:rsidRPr="00254197">
        <w:rPr>
          <w:rFonts w:ascii="GHEA Grapalat" w:eastAsia="Calibri" w:hAnsi="GHEA Grapalat"/>
          <w:lang w:val="hy-AM"/>
        </w:rPr>
        <w:t xml:space="preserve"> </w:t>
      </w:r>
      <w:r w:rsidR="003838C6" w:rsidRPr="00254197">
        <w:rPr>
          <w:rFonts w:ascii="GHEA Grapalat" w:eastAsia="Calibri" w:hAnsi="GHEA Grapalat"/>
          <w:lang w:val="hy-AM"/>
        </w:rPr>
        <w:t xml:space="preserve">սահմանել </w:t>
      </w:r>
      <w:r w:rsidR="008F6045" w:rsidRPr="00254197">
        <w:rPr>
          <w:rFonts w:ascii="GHEA Grapalat" w:eastAsia="Calibri" w:hAnsi="GHEA Grapalat"/>
          <w:lang w:val="hy-AM"/>
        </w:rPr>
        <w:t>գործունեության ռիսկի միավորներ</w:t>
      </w:r>
      <w:r w:rsidR="00A90C83" w:rsidRPr="00254197">
        <w:rPr>
          <w:rFonts w:ascii="GHEA Grapalat" w:eastAsia="Calibri" w:hAnsi="GHEA Grapalat"/>
          <w:lang w:val="hy-AM"/>
        </w:rPr>
        <w:t xml:space="preserve"> այնպիսի ն</w:t>
      </w:r>
      <w:r w:rsidR="002A6B36" w:rsidRPr="00254197">
        <w:rPr>
          <w:rFonts w:ascii="GHEA Grapalat" w:eastAsia="Calibri" w:hAnsi="GHEA Grapalat"/>
          <w:lang w:val="hy-AM"/>
        </w:rPr>
        <w:t>ո</w:t>
      </w:r>
      <w:r w:rsidR="00A90C83" w:rsidRPr="00254197">
        <w:rPr>
          <w:rFonts w:ascii="GHEA Grapalat" w:eastAsia="Calibri" w:hAnsi="GHEA Grapalat"/>
          <w:lang w:val="hy-AM"/>
        </w:rPr>
        <w:t>ր ոլորտների համար, ինչպիսիք են՝</w:t>
      </w:r>
      <w:r w:rsidR="002E59BA" w:rsidRPr="00254197">
        <w:rPr>
          <w:rFonts w:ascii="GHEA Grapalat" w:eastAsia="Calibri" w:hAnsi="GHEA Grapalat"/>
          <w:lang w:val="hy-AM"/>
        </w:rPr>
        <w:t xml:space="preserve"> արտադրական </w:t>
      </w:r>
      <w:r w:rsidR="00333217" w:rsidRPr="00254197">
        <w:rPr>
          <w:rFonts w:ascii="GHEA Grapalat" w:eastAsia="Calibri" w:hAnsi="GHEA Grapalat"/>
          <w:lang w:val="hy-AM"/>
        </w:rPr>
        <w:t>կանեփ</w:t>
      </w:r>
      <w:r w:rsidR="00A90C83" w:rsidRPr="00254197">
        <w:rPr>
          <w:rFonts w:ascii="GHEA Grapalat" w:eastAsia="Calibri" w:hAnsi="GHEA Grapalat"/>
          <w:lang w:val="hy-AM"/>
        </w:rPr>
        <w:t>ը</w:t>
      </w:r>
      <w:r w:rsidR="00333217" w:rsidRPr="00254197">
        <w:rPr>
          <w:rFonts w:ascii="GHEA Grapalat" w:eastAsia="Calibri" w:hAnsi="GHEA Grapalat"/>
          <w:lang w:val="hy-AM"/>
        </w:rPr>
        <w:t>,</w:t>
      </w:r>
      <w:r w:rsidR="00333217" w:rsidRPr="00254197">
        <w:rPr>
          <w:rFonts w:ascii="GHEA Grapalat" w:hAnsi="GHEA Grapalat"/>
          <w:lang w:val="hy-AM"/>
        </w:rPr>
        <w:t xml:space="preserve"> քիմիական </w:t>
      </w:r>
      <w:r w:rsidR="00A90C83" w:rsidRPr="00254197">
        <w:rPr>
          <w:rFonts w:ascii="GHEA Grapalat" w:hAnsi="GHEA Grapalat"/>
          <w:lang w:val="hy-AM"/>
        </w:rPr>
        <w:t>արտադրանքը</w:t>
      </w:r>
      <w:r w:rsidR="00333217" w:rsidRPr="00254197">
        <w:rPr>
          <w:rFonts w:ascii="GHEA Grapalat" w:hAnsi="GHEA Grapalat"/>
          <w:lang w:val="hy-AM"/>
        </w:rPr>
        <w:t xml:space="preserve">, հանքային </w:t>
      </w:r>
      <w:r w:rsidR="00A90C83" w:rsidRPr="00254197">
        <w:rPr>
          <w:rFonts w:ascii="GHEA Grapalat" w:hAnsi="GHEA Grapalat"/>
          <w:lang w:val="hy-AM"/>
        </w:rPr>
        <w:t>պարարտանյութերը</w:t>
      </w:r>
      <w:r w:rsidR="00333217" w:rsidRPr="00254197">
        <w:rPr>
          <w:rFonts w:ascii="GHEA Grapalat" w:hAnsi="GHEA Grapalat"/>
          <w:lang w:val="hy-AM"/>
        </w:rPr>
        <w:t xml:space="preserve">, տրանսպորտային փոխադրման և (կամ) օգտագործման համար նախապատրաստված բնական այրվող </w:t>
      </w:r>
      <w:r w:rsidR="00A90C83" w:rsidRPr="00254197">
        <w:rPr>
          <w:rFonts w:ascii="GHEA Grapalat" w:hAnsi="GHEA Grapalat"/>
          <w:lang w:val="hy-AM"/>
        </w:rPr>
        <w:t>գազը</w:t>
      </w:r>
      <w:r w:rsidR="00333217" w:rsidRPr="00254197">
        <w:rPr>
          <w:rFonts w:ascii="GHEA Grapalat" w:hAnsi="GHEA Grapalat"/>
          <w:lang w:val="hy-AM"/>
        </w:rPr>
        <w:t xml:space="preserve">, </w:t>
      </w:r>
      <w:proofErr w:type="spellStart"/>
      <w:r w:rsidR="00333217" w:rsidRPr="00254197">
        <w:rPr>
          <w:rFonts w:ascii="GHEA Grapalat" w:hAnsi="GHEA Grapalat"/>
          <w:lang w:val="hy-AM"/>
        </w:rPr>
        <w:t>Էներգախնայող</w:t>
      </w:r>
      <w:proofErr w:type="spellEnd"/>
      <w:r w:rsidR="00333217" w:rsidRPr="00254197">
        <w:rPr>
          <w:rFonts w:ascii="GHEA Grapalat" w:hAnsi="GHEA Grapalat"/>
          <w:lang w:val="hy-AM"/>
        </w:rPr>
        <w:t xml:space="preserve"> սարքերի </w:t>
      </w:r>
      <w:proofErr w:type="spellStart"/>
      <w:r w:rsidR="00333217" w:rsidRPr="00254197">
        <w:rPr>
          <w:rFonts w:ascii="GHEA Grapalat" w:hAnsi="GHEA Grapalat"/>
          <w:lang w:val="hy-AM"/>
        </w:rPr>
        <w:t>էներգաարդյունավետություն</w:t>
      </w:r>
      <w:r w:rsidR="00A90C83" w:rsidRPr="00254197">
        <w:rPr>
          <w:rFonts w:ascii="GHEA Grapalat" w:hAnsi="GHEA Grapalat"/>
          <w:lang w:val="hy-AM"/>
        </w:rPr>
        <w:t>ը</w:t>
      </w:r>
      <w:proofErr w:type="spellEnd"/>
      <w:r w:rsidR="00333217" w:rsidRPr="00254197">
        <w:rPr>
          <w:rFonts w:ascii="GHEA Grapalat" w:hAnsi="GHEA Grapalat"/>
          <w:lang w:val="hy-AM"/>
        </w:rPr>
        <w:t xml:space="preserve"> և փոխադրման և (կամ) օգտագործման համար պատրաստված նավթ</w:t>
      </w:r>
      <w:r w:rsidR="00A90C83" w:rsidRPr="00254197">
        <w:rPr>
          <w:rFonts w:ascii="GHEA Grapalat" w:hAnsi="GHEA Grapalat"/>
          <w:lang w:val="hy-AM"/>
        </w:rPr>
        <w:t>ը</w:t>
      </w:r>
      <w:r w:rsidR="008F6045" w:rsidRPr="00254197">
        <w:rPr>
          <w:rFonts w:ascii="GHEA Grapalat" w:eastAsia="Calibri" w:hAnsi="GHEA Grapalat"/>
          <w:lang w:val="hy-AM"/>
        </w:rPr>
        <w:t>:</w:t>
      </w:r>
      <w:r w:rsidR="002E59BA" w:rsidRPr="00254197">
        <w:rPr>
          <w:rFonts w:ascii="GHEA Grapalat" w:eastAsia="Calibri" w:hAnsi="GHEA Grapalat"/>
          <w:lang w:val="hy-AM"/>
        </w:rPr>
        <w:t xml:space="preserve"> </w:t>
      </w:r>
      <w:r w:rsidR="00E160E4" w:rsidRPr="00254197">
        <w:rPr>
          <w:rFonts w:ascii="GHEA Grapalat" w:eastAsia="Calibri" w:hAnsi="GHEA Grapalat"/>
          <w:lang w:val="hy-AM"/>
        </w:rPr>
        <w:t xml:space="preserve">Միաժամանակ, նախատեսվում է նաև կանոնակարգվել ռիսկի գնահատման արդյունքում հավասար միավորներ ստացած տնտեսավարող սուբյեկտների </w:t>
      </w:r>
      <w:proofErr w:type="spellStart"/>
      <w:r w:rsidR="00E160E4" w:rsidRPr="00254197">
        <w:rPr>
          <w:rFonts w:ascii="GHEA Grapalat" w:eastAsia="Calibri" w:hAnsi="GHEA Grapalat"/>
          <w:lang w:val="hy-AM"/>
        </w:rPr>
        <w:t>ռիսկայնության</w:t>
      </w:r>
      <w:proofErr w:type="spellEnd"/>
      <w:r w:rsidR="00E160E4" w:rsidRPr="00254197">
        <w:rPr>
          <w:rFonts w:ascii="GHEA Grapalat" w:eastAsia="Calibri" w:hAnsi="GHEA Grapalat"/>
          <w:lang w:val="hy-AM"/>
        </w:rPr>
        <w:t xml:space="preserve">  գնահատումը։</w:t>
      </w:r>
    </w:p>
    <w:p w14:paraId="3C348CA9" w14:textId="49C8CD84" w:rsidR="00E160E4" w:rsidRPr="00254197" w:rsidRDefault="006635CF" w:rsidP="00333217">
      <w:pPr>
        <w:spacing w:line="360" w:lineRule="auto"/>
        <w:ind w:right="-151" w:firstLine="567"/>
        <w:jc w:val="both"/>
        <w:rPr>
          <w:rFonts w:ascii="GHEA Grapalat" w:eastAsia="Calibri" w:hAnsi="GHEA Grapalat"/>
          <w:lang w:val="hy-AM"/>
        </w:rPr>
      </w:pPr>
      <w:r w:rsidRPr="00254197">
        <w:rPr>
          <w:rFonts w:ascii="GHEA Grapalat" w:eastAsia="Calibri" w:hAnsi="GHEA Grapalat"/>
          <w:lang w:val="hy-AM"/>
        </w:rPr>
        <w:t>Նախագծով նախատեսվում է նաև</w:t>
      </w:r>
      <w:r w:rsidR="00385A5B" w:rsidRPr="00254197">
        <w:rPr>
          <w:rFonts w:ascii="GHEA Grapalat" w:eastAsia="Calibri" w:hAnsi="GHEA Grapalat"/>
          <w:lang w:val="hy-AM"/>
        </w:rPr>
        <w:t xml:space="preserve"> վերանայել</w:t>
      </w:r>
      <w:r w:rsidRPr="00254197">
        <w:rPr>
          <w:rFonts w:ascii="GHEA Grapalat" w:eastAsia="Calibri" w:hAnsi="GHEA Grapalat"/>
          <w:lang w:val="hy-AM"/>
        </w:rPr>
        <w:t xml:space="preserve"> </w:t>
      </w:r>
      <w:r w:rsidR="00E160E4" w:rsidRPr="00254197">
        <w:rPr>
          <w:rFonts w:ascii="GHEA Grapalat" w:eastAsia="Calibri" w:hAnsi="GHEA Grapalat"/>
          <w:lang w:val="hy-AM"/>
        </w:rPr>
        <w:t xml:space="preserve">վերահսկման այլ ոլորտների </w:t>
      </w:r>
      <w:r w:rsidR="00333217" w:rsidRPr="00254197">
        <w:rPr>
          <w:rFonts w:ascii="GHEA Grapalat" w:eastAsia="Calibri" w:hAnsi="GHEA Grapalat"/>
          <w:lang w:val="hy-AM"/>
        </w:rPr>
        <w:t>ոլորտային ռիսկի միավորները</w:t>
      </w:r>
      <w:r w:rsidR="00D66EDC" w:rsidRPr="00254197">
        <w:rPr>
          <w:rFonts w:ascii="GHEA Grapalat" w:eastAsia="Calibri" w:hAnsi="GHEA Grapalat"/>
          <w:lang w:val="hy-AM"/>
        </w:rPr>
        <w:t xml:space="preserve"> /</w:t>
      </w:r>
      <w:proofErr w:type="spellStart"/>
      <w:r w:rsidR="00D66EDC" w:rsidRPr="00254197">
        <w:rPr>
          <w:rFonts w:ascii="GHEA Grapalat" w:eastAsia="Calibri" w:hAnsi="GHEA Grapalat"/>
          <w:lang w:val="hy-AM"/>
        </w:rPr>
        <w:t>չափորոշիչները</w:t>
      </w:r>
      <w:proofErr w:type="spellEnd"/>
      <w:r w:rsidR="00D66EDC" w:rsidRPr="00254197">
        <w:rPr>
          <w:rFonts w:ascii="GHEA Grapalat" w:eastAsia="Calibri" w:hAnsi="GHEA Grapalat"/>
          <w:lang w:val="hy-AM"/>
        </w:rPr>
        <w:t>/</w:t>
      </w:r>
      <w:r w:rsidR="00E160E4" w:rsidRPr="00254197">
        <w:rPr>
          <w:rFonts w:ascii="GHEA Grapalat" w:eastAsia="Calibri" w:hAnsi="GHEA Grapalat"/>
          <w:lang w:val="hy-AM"/>
        </w:rPr>
        <w:t xml:space="preserve">՝ </w:t>
      </w:r>
      <w:r w:rsidR="00333217" w:rsidRPr="00254197">
        <w:rPr>
          <w:rFonts w:ascii="GHEA Grapalat" w:eastAsia="Calibri" w:hAnsi="GHEA Grapalat"/>
          <w:lang w:val="hy-AM"/>
        </w:rPr>
        <w:t xml:space="preserve">հիմք ընդունելով Տեսչական մարմնի կողմից </w:t>
      </w:r>
      <w:r w:rsidR="00E160E4" w:rsidRPr="00254197">
        <w:rPr>
          <w:rFonts w:ascii="GHEA Grapalat" w:eastAsia="Calibri" w:hAnsi="GHEA Grapalat"/>
          <w:lang w:val="hy-AM"/>
        </w:rPr>
        <w:t>վերահսկվող</w:t>
      </w:r>
      <w:r w:rsidR="00333217" w:rsidRPr="00254197">
        <w:rPr>
          <w:rFonts w:ascii="GHEA Grapalat" w:eastAsia="Calibri" w:hAnsi="GHEA Grapalat"/>
          <w:lang w:val="hy-AM"/>
        </w:rPr>
        <w:t xml:space="preserve"> ոլորտների, տեխնիկական </w:t>
      </w:r>
      <w:proofErr w:type="spellStart"/>
      <w:r w:rsidR="00333217" w:rsidRPr="00254197">
        <w:rPr>
          <w:rFonts w:ascii="GHEA Grapalat" w:eastAsia="Calibri" w:hAnsi="GHEA Grapalat"/>
          <w:lang w:val="hy-AM"/>
        </w:rPr>
        <w:t>կանոնակարգերի</w:t>
      </w:r>
      <w:proofErr w:type="spellEnd"/>
      <w:r w:rsidR="00333217" w:rsidRPr="00254197">
        <w:rPr>
          <w:rFonts w:ascii="GHEA Grapalat" w:eastAsia="Calibri" w:hAnsi="GHEA Grapalat"/>
          <w:lang w:val="hy-AM"/>
        </w:rPr>
        <w:t xml:space="preserve"> պահանջների, հավանական վնաս առաջացնող գործոնների ազդեցության և վնասի աստիճանի փոփոխությունները</w:t>
      </w:r>
      <w:r w:rsidR="00E160E4" w:rsidRPr="00254197">
        <w:rPr>
          <w:rFonts w:ascii="GHEA Grapalat" w:eastAsia="Calibri" w:hAnsi="GHEA Grapalat"/>
          <w:lang w:val="hy-AM"/>
        </w:rPr>
        <w:t xml:space="preserve">, այդ թվում՝  </w:t>
      </w:r>
      <w:r w:rsidR="00E160E4" w:rsidRPr="00254197">
        <w:rPr>
          <w:rFonts w:ascii="GHEA Grapalat" w:eastAsia="Calibri" w:hAnsi="GHEA Grapalat"/>
          <w:lang w:val="hy-AM"/>
        </w:rPr>
        <w:lastRenderedPageBreak/>
        <w:t xml:space="preserve">նոր ոլորտների ընդգրկման արդյունքում </w:t>
      </w:r>
      <w:proofErr w:type="spellStart"/>
      <w:r w:rsidR="00E160E4" w:rsidRPr="00254197">
        <w:rPr>
          <w:rFonts w:ascii="GHEA Grapalat" w:eastAsia="Calibri" w:hAnsi="GHEA Grapalat"/>
          <w:lang w:val="hy-AM"/>
        </w:rPr>
        <w:t>ռիսկայնության</w:t>
      </w:r>
      <w:proofErr w:type="spellEnd"/>
      <w:r w:rsidR="00E160E4" w:rsidRPr="00254197">
        <w:rPr>
          <w:rFonts w:ascii="GHEA Grapalat" w:eastAsia="Calibri" w:hAnsi="GHEA Grapalat"/>
          <w:lang w:val="hy-AM"/>
        </w:rPr>
        <w:t xml:space="preserve"> </w:t>
      </w:r>
      <w:proofErr w:type="spellStart"/>
      <w:r w:rsidR="00E160E4" w:rsidRPr="00254197">
        <w:rPr>
          <w:rFonts w:ascii="GHEA Grapalat" w:eastAsia="Calibri" w:hAnsi="GHEA Grapalat"/>
          <w:lang w:val="hy-AM"/>
        </w:rPr>
        <w:t>աստիճանակարգությունն</w:t>
      </w:r>
      <w:proofErr w:type="spellEnd"/>
      <w:r w:rsidR="00E160E4" w:rsidRPr="00254197">
        <w:rPr>
          <w:rFonts w:ascii="GHEA Grapalat" w:eastAsia="Calibri" w:hAnsi="GHEA Grapalat"/>
          <w:lang w:val="hy-AM"/>
        </w:rPr>
        <w:t xml:space="preserve"> ապահովելու</w:t>
      </w:r>
      <w:r w:rsidR="00A90C83" w:rsidRPr="00254197">
        <w:rPr>
          <w:rFonts w:ascii="GHEA Grapalat" w:eastAsia="Calibri" w:hAnsi="GHEA Grapalat"/>
          <w:lang w:val="hy-AM"/>
        </w:rPr>
        <w:t xml:space="preserve"> </w:t>
      </w:r>
      <w:r w:rsidR="00E160E4" w:rsidRPr="00254197">
        <w:rPr>
          <w:rFonts w:ascii="GHEA Grapalat" w:eastAsia="Calibri" w:hAnsi="GHEA Grapalat"/>
          <w:lang w:val="hy-AM"/>
        </w:rPr>
        <w:t>անհրաժեշտությունը։</w:t>
      </w:r>
    </w:p>
    <w:p w14:paraId="02783CD1" w14:textId="2A2CA373" w:rsidR="002E59BA" w:rsidRPr="00254197" w:rsidRDefault="00E160E4" w:rsidP="00333217">
      <w:pPr>
        <w:spacing w:line="360" w:lineRule="auto"/>
        <w:ind w:right="-151" w:firstLine="567"/>
        <w:jc w:val="both"/>
        <w:rPr>
          <w:rFonts w:ascii="GHEA Grapalat" w:eastAsia="Calibri" w:hAnsi="GHEA Grapalat"/>
          <w:lang w:val="hy-AM"/>
        </w:rPr>
      </w:pPr>
      <w:r w:rsidRPr="00254197">
        <w:rPr>
          <w:rFonts w:ascii="GHEA Grapalat" w:eastAsia="Calibri" w:hAnsi="GHEA Grapalat"/>
          <w:lang w:val="hy-AM"/>
        </w:rPr>
        <w:t xml:space="preserve">Բացի այդ, Նախագծով առաջարկվում է </w:t>
      </w:r>
      <w:r w:rsidR="00A90C83" w:rsidRPr="00254197">
        <w:rPr>
          <w:rFonts w:ascii="GHEA Grapalat" w:eastAsia="Calibri" w:hAnsi="GHEA Grapalat"/>
          <w:lang w:val="hy-AM"/>
        </w:rPr>
        <w:t>նաև</w:t>
      </w:r>
      <w:r w:rsidR="00A90C83" w:rsidRPr="00254197">
        <w:rPr>
          <w:rFonts w:ascii="GHEA Grapalat" w:hAnsi="GHEA Grapalat"/>
          <w:color w:val="000000"/>
          <w:shd w:val="clear" w:color="auto" w:fill="FFFFFF"/>
          <w:lang w:val="hy-AM"/>
        </w:rPr>
        <w:t xml:space="preserve"> տնտեսավարող սուբյեկտի գործունեության վերլուծության աղյուսակում որպես առանձին ցուցանիշներ առանձնացնել «արտադրող երկրի» և «անվտանգության և որակի համակարգի» սահմանումները, որպես առանձին ռիսկ առաջացնող գործոններ:</w:t>
      </w:r>
    </w:p>
    <w:p w14:paraId="59C1CC3B" w14:textId="77777777" w:rsidR="00333217" w:rsidRPr="00254197" w:rsidRDefault="00333217" w:rsidP="00333217">
      <w:pPr>
        <w:spacing w:line="360" w:lineRule="auto"/>
        <w:ind w:right="-151" w:firstLine="567"/>
        <w:jc w:val="both"/>
        <w:rPr>
          <w:rFonts w:ascii="GHEA Grapalat" w:eastAsia="Calibri" w:hAnsi="GHEA Grapalat"/>
          <w:lang w:val="hy-AM"/>
        </w:rPr>
      </w:pPr>
    </w:p>
    <w:p w14:paraId="7AC4D703" w14:textId="77777777" w:rsidR="00AD7DF5" w:rsidRPr="00254197" w:rsidRDefault="00D91104" w:rsidP="00EE2F92">
      <w:pPr>
        <w:spacing w:line="360" w:lineRule="auto"/>
        <w:ind w:right="-151" w:firstLine="567"/>
        <w:jc w:val="both"/>
        <w:rPr>
          <w:rFonts w:ascii="GHEA Grapalat" w:hAnsi="GHEA Grapalat"/>
          <w:b/>
          <w:lang w:val="hy-AM"/>
        </w:rPr>
      </w:pPr>
      <w:r w:rsidRPr="00254197">
        <w:rPr>
          <w:rFonts w:ascii="GHEA Grapalat" w:hAnsi="GHEA Grapalat"/>
          <w:b/>
          <w:lang w:val="hy-AM"/>
        </w:rPr>
        <w:t>4</w:t>
      </w:r>
      <w:r w:rsidR="001164FB" w:rsidRPr="00254197">
        <w:rPr>
          <w:rFonts w:ascii="GHEA Grapalat" w:hAnsi="GHEA Grapalat"/>
          <w:b/>
          <w:lang w:val="hy-AM"/>
        </w:rPr>
        <w:t>.</w:t>
      </w:r>
      <w:r w:rsidRPr="00254197">
        <w:rPr>
          <w:rFonts w:ascii="GHEA Grapalat" w:hAnsi="GHEA Grapalat"/>
          <w:b/>
          <w:lang w:val="hy-AM"/>
        </w:rPr>
        <w:t xml:space="preserve"> </w:t>
      </w:r>
      <w:r w:rsidR="00AD7DF5" w:rsidRPr="00254197">
        <w:rPr>
          <w:rFonts w:ascii="GHEA Grapalat" w:hAnsi="GHEA Grapalat"/>
          <w:b/>
          <w:lang w:val="hy-AM"/>
        </w:rPr>
        <w:t>Նախագծի մշակման գործընթացում ներգրավված ինստիտուտները և անձինք</w:t>
      </w:r>
      <w:r w:rsidR="001164FB" w:rsidRPr="00254197">
        <w:rPr>
          <w:rFonts w:ascii="GHEA Grapalat" w:hAnsi="GHEA Grapalat"/>
          <w:b/>
          <w:lang w:val="hy-AM"/>
        </w:rPr>
        <w:t>.</w:t>
      </w:r>
    </w:p>
    <w:p w14:paraId="6C798E4A" w14:textId="77777777" w:rsidR="00951AB1" w:rsidRPr="00254197" w:rsidRDefault="00951AB1" w:rsidP="00EE2F92">
      <w:pPr>
        <w:spacing w:line="360" w:lineRule="auto"/>
        <w:ind w:right="-151" w:firstLine="567"/>
        <w:jc w:val="both"/>
        <w:rPr>
          <w:rFonts w:ascii="GHEA Grapalat" w:hAnsi="GHEA Grapalat"/>
          <w:lang w:val="hy-AM"/>
        </w:rPr>
      </w:pPr>
      <w:r w:rsidRPr="00254197">
        <w:rPr>
          <w:rFonts w:ascii="GHEA Grapalat" w:hAnsi="GHEA Grapalat"/>
          <w:lang w:val="hy-AM"/>
        </w:rPr>
        <w:t xml:space="preserve"> Նախագիծը մշակվել է Հայաստանի Հանրապետության վարչապետի աշխատակազմի տեսչական մարմինների աշխատանքների համակարգման գրասենյակի և ՀՀ շուկայի վերահսկողության տեսչական մարմնի կողմից համատեղ:</w:t>
      </w:r>
    </w:p>
    <w:p w14:paraId="0E54A4FF" w14:textId="77777777" w:rsidR="00E51BA3" w:rsidRPr="00254197" w:rsidRDefault="00E51BA3" w:rsidP="00EE2F92">
      <w:pPr>
        <w:spacing w:line="360" w:lineRule="auto"/>
        <w:ind w:right="-151" w:firstLine="567"/>
        <w:jc w:val="both"/>
        <w:rPr>
          <w:rFonts w:ascii="GHEA Grapalat" w:hAnsi="GHEA Grapalat"/>
          <w:lang w:val="hy-AM"/>
        </w:rPr>
      </w:pPr>
    </w:p>
    <w:p w14:paraId="604A84B4" w14:textId="3DC8BE4E" w:rsidR="00AD7DF5" w:rsidRPr="00254197" w:rsidRDefault="00D91104" w:rsidP="00EE2F92">
      <w:pPr>
        <w:spacing w:line="360" w:lineRule="auto"/>
        <w:ind w:right="-151" w:firstLine="567"/>
        <w:jc w:val="both"/>
        <w:rPr>
          <w:rFonts w:ascii="GHEA Grapalat" w:hAnsi="GHEA Grapalat"/>
          <w:b/>
          <w:lang w:val="hy-AM"/>
        </w:rPr>
      </w:pPr>
      <w:r w:rsidRPr="00254197">
        <w:rPr>
          <w:rFonts w:ascii="GHEA Grapalat" w:hAnsi="GHEA Grapalat"/>
          <w:b/>
          <w:lang w:val="hy-AM"/>
        </w:rPr>
        <w:t>5</w:t>
      </w:r>
      <w:r w:rsidR="00725ACD" w:rsidRPr="00254197">
        <w:rPr>
          <w:rFonts w:ascii="GHEA Grapalat" w:hAnsi="GHEA Grapalat"/>
          <w:b/>
          <w:lang w:val="hy-AM"/>
        </w:rPr>
        <w:t xml:space="preserve">. </w:t>
      </w:r>
      <w:r w:rsidR="0097264F" w:rsidRPr="00254197">
        <w:rPr>
          <w:rFonts w:ascii="GHEA Grapalat" w:hAnsi="GHEA Grapalat"/>
          <w:b/>
          <w:lang w:val="hy-AM"/>
        </w:rPr>
        <w:t>Ա</w:t>
      </w:r>
      <w:r w:rsidR="006A0B71" w:rsidRPr="00254197">
        <w:rPr>
          <w:rFonts w:ascii="GHEA Grapalat" w:hAnsi="GHEA Grapalat" w:cs="Sylfaen"/>
          <w:b/>
          <w:lang w:val="hy-AM"/>
        </w:rPr>
        <w:t>կնկալվող</w:t>
      </w:r>
      <w:r w:rsidR="006A0B71" w:rsidRPr="00254197">
        <w:rPr>
          <w:rFonts w:ascii="GHEA Grapalat" w:hAnsi="GHEA Grapalat" w:cs="Times Armenian"/>
          <w:b/>
          <w:lang w:val="hy-AM"/>
        </w:rPr>
        <w:t xml:space="preserve"> </w:t>
      </w:r>
      <w:r w:rsidR="006A0B71" w:rsidRPr="00254197">
        <w:rPr>
          <w:rFonts w:ascii="GHEA Grapalat" w:hAnsi="GHEA Grapalat" w:cs="Sylfaen"/>
          <w:b/>
          <w:lang w:val="hy-AM"/>
        </w:rPr>
        <w:t>արդյունքը</w:t>
      </w:r>
      <w:r w:rsidR="001164FB" w:rsidRPr="00254197">
        <w:rPr>
          <w:rFonts w:ascii="GHEA Grapalat" w:hAnsi="GHEA Grapalat"/>
          <w:b/>
          <w:lang w:val="hy-AM"/>
        </w:rPr>
        <w:t>.</w:t>
      </w:r>
    </w:p>
    <w:p w14:paraId="25D1E4D4" w14:textId="6DCF0A0B" w:rsidR="00951AB1" w:rsidRPr="00254197" w:rsidRDefault="00951AB1" w:rsidP="00EE2F92">
      <w:pPr>
        <w:spacing w:line="360" w:lineRule="auto"/>
        <w:ind w:right="-151" w:firstLine="567"/>
        <w:jc w:val="both"/>
        <w:rPr>
          <w:rFonts w:ascii="GHEA Grapalat" w:hAnsi="GHEA Grapalat"/>
          <w:lang w:val="hy-AM" w:eastAsia="en-US"/>
        </w:rPr>
      </w:pPr>
      <w:r w:rsidRPr="00254197">
        <w:rPr>
          <w:rFonts w:ascii="GHEA Grapalat" w:hAnsi="GHEA Grapalat"/>
          <w:lang w:val="hy-AM" w:eastAsia="en-US"/>
        </w:rPr>
        <w:t xml:space="preserve">Նախագծի ընդունման արդյունքում </w:t>
      </w:r>
      <w:r w:rsidR="002E59BA" w:rsidRPr="00254197">
        <w:rPr>
          <w:rFonts w:ascii="GHEA Grapalat" w:hAnsi="GHEA Grapalat"/>
          <w:lang w:val="hy-AM" w:eastAsia="en-US"/>
        </w:rPr>
        <w:t>հնարավորություն կընձեռվի</w:t>
      </w:r>
      <w:r w:rsidR="002E59BA" w:rsidRPr="00254197">
        <w:rPr>
          <w:rFonts w:ascii="GHEA Grapalat" w:hAnsi="GHEA Grapalat"/>
          <w:lang w:val="hy-AM"/>
        </w:rPr>
        <w:t xml:space="preserve"> ՀՀ շուկայի վերահսկողության տեսչական մարմնին</w:t>
      </w:r>
      <w:r w:rsidR="008F6045" w:rsidRPr="00254197">
        <w:rPr>
          <w:rFonts w:ascii="GHEA Grapalat" w:hAnsi="GHEA Grapalat"/>
          <w:lang w:val="hy-AM"/>
        </w:rPr>
        <w:t>՝</w:t>
      </w:r>
      <w:r w:rsidR="002E59BA" w:rsidRPr="00254197">
        <w:rPr>
          <w:rFonts w:ascii="GHEA Grapalat" w:hAnsi="GHEA Grapalat"/>
          <w:lang w:val="hy-AM"/>
        </w:rPr>
        <w:t xml:space="preserve"> իրականացնել</w:t>
      </w:r>
      <w:r w:rsidR="008F6045" w:rsidRPr="00254197">
        <w:rPr>
          <w:rFonts w:ascii="GHEA Grapalat" w:hAnsi="GHEA Grapalat"/>
          <w:lang w:val="hy-AM"/>
        </w:rPr>
        <w:t>ու</w:t>
      </w:r>
      <w:r w:rsidR="002E59BA" w:rsidRPr="00254197">
        <w:rPr>
          <w:rFonts w:ascii="GHEA Grapalat" w:hAnsi="GHEA Grapalat"/>
          <w:lang w:val="hy-AM"/>
        </w:rPr>
        <w:t xml:space="preserve"> </w:t>
      </w:r>
      <w:r w:rsidR="002E59BA" w:rsidRPr="00254197">
        <w:rPr>
          <w:rFonts w:ascii="GHEA Grapalat" w:hAnsi="GHEA Grapalat"/>
          <w:lang w:val="hy-AM" w:eastAsia="en-US"/>
        </w:rPr>
        <w:t xml:space="preserve">արդյունավետ </w:t>
      </w:r>
      <w:r w:rsidR="002E59BA" w:rsidRPr="00254197">
        <w:rPr>
          <w:rFonts w:ascii="GHEA Grapalat" w:hAnsi="GHEA Grapalat"/>
          <w:lang w:val="hy-AM"/>
        </w:rPr>
        <w:t>պետական վերահսկողություն՝ հիմնվելով տնտեսավ</w:t>
      </w:r>
      <w:r w:rsidR="007E4F6D" w:rsidRPr="00254197">
        <w:rPr>
          <w:rFonts w:ascii="GHEA Grapalat" w:hAnsi="GHEA Grapalat"/>
          <w:lang w:val="hy-AM"/>
        </w:rPr>
        <w:t xml:space="preserve">արող սուբյեկտի </w:t>
      </w:r>
      <w:proofErr w:type="spellStart"/>
      <w:r w:rsidR="007E4F6D" w:rsidRPr="00254197">
        <w:rPr>
          <w:rFonts w:ascii="GHEA Grapalat" w:hAnsi="GHEA Grapalat"/>
          <w:lang w:val="hy-AM"/>
        </w:rPr>
        <w:t>ռիսկայնության</w:t>
      </w:r>
      <w:proofErr w:type="spellEnd"/>
      <w:r w:rsidR="007E4F6D" w:rsidRPr="00254197">
        <w:rPr>
          <w:rFonts w:ascii="GHEA Grapalat" w:hAnsi="GHEA Grapalat"/>
          <w:lang w:val="hy-AM"/>
        </w:rPr>
        <w:t xml:space="preserve"> վրա,</w:t>
      </w:r>
      <w:r w:rsidR="00AB2C9A" w:rsidRPr="00254197">
        <w:rPr>
          <w:rFonts w:ascii="GHEA Grapalat" w:hAnsi="GHEA Grapalat"/>
          <w:lang w:val="hy-AM"/>
        </w:rPr>
        <w:t xml:space="preserve"> </w:t>
      </w:r>
      <w:proofErr w:type="spellStart"/>
      <w:r w:rsidR="00AB2C9A" w:rsidRPr="00254197">
        <w:rPr>
          <w:rFonts w:ascii="GHEA Grapalat" w:hAnsi="GHEA Grapalat"/>
          <w:lang w:val="hy-AM"/>
        </w:rPr>
        <w:t>մաս</w:t>
      </w:r>
      <w:r w:rsidR="008F6045" w:rsidRPr="00254197">
        <w:rPr>
          <w:rFonts w:ascii="GHEA Grapalat" w:hAnsi="GHEA Grapalat"/>
          <w:lang w:val="hy-AM"/>
        </w:rPr>
        <w:t>ն</w:t>
      </w:r>
      <w:r w:rsidR="00AB2C9A" w:rsidRPr="00254197">
        <w:rPr>
          <w:rFonts w:ascii="GHEA Grapalat" w:hAnsi="GHEA Grapalat"/>
          <w:lang w:val="hy-AM"/>
        </w:rPr>
        <w:t>վորապես</w:t>
      </w:r>
      <w:proofErr w:type="spellEnd"/>
      <w:r w:rsidR="00AB2C9A" w:rsidRPr="00254197">
        <w:rPr>
          <w:rFonts w:ascii="GHEA Grapalat" w:hAnsi="GHEA Grapalat"/>
          <w:lang w:val="hy-AM"/>
        </w:rPr>
        <w:t xml:space="preserve">՝ ստուգումների տարեկան պլանում ընդգրկելով նաև </w:t>
      </w:r>
      <w:proofErr w:type="spellStart"/>
      <w:r w:rsidR="00AB2C9A" w:rsidRPr="00254197">
        <w:rPr>
          <w:rFonts w:ascii="GHEA Grapalat" w:hAnsi="GHEA Grapalat"/>
          <w:lang w:val="hy-AM"/>
        </w:rPr>
        <w:t>դեռևս</w:t>
      </w:r>
      <w:proofErr w:type="spellEnd"/>
      <w:r w:rsidR="00AB2C9A" w:rsidRPr="00254197">
        <w:rPr>
          <w:rFonts w:ascii="GHEA Grapalat" w:hAnsi="GHEA Grapalat"/>
          <w:lang w:val="hy-AM"/>
        </w:rPr>
        <w:t xml:space="preserve"> չստուգված տնտեսավարող սուբյեկտներին,</w:t>
      </w:r>
      <w:r w:rsidR="007E4F6D" w:rsidRPr="00254197">
        <w:rPr>
          <w:rFonts w:ascii="GHEA Grapalat" w:hAnsi="GHEA Grapalat"/>
          <w:lang w:val="hy-AM"/>
        </w:rPr>
        <w:t xml:space="preserve"> ինչպես նաև կսահմանվեն</w:t>
      </w:r>
      <w:r w:rsidR="00FE47E5">
        <w:rPr>
          <w:rFonts w:ascii="GHEA Grapalat" w:hAnsi="GHEA Grapalat"/>
          <w:lang w:val="hy-AM"/>
        </w:rPr>
        <w:t xml:space="preserve"> վերահսկողության վեց </w:t>
      </w:r>
      <w:r w:rsidR="00FE47E5">
        <w:rPr>
          <w:rFonts w:ascii="GHEA Grapalat" w:hAnsi="GHEA Grapalat"/>
          <w:lang w:val="hy-AM"/>
        </w:rPr>
        <w:t>նոր</w:t>
      </w:r>
      <w:r w:rsidR="00FE47E5">
        <w:rPr>
          <w:rFonts w:ascii="GHEA Grapalat" w:hAnsi="GHEA Grapalat"/>
          <w:lang w:val="hy-AM"/>
        </w:rPr>
        <w:t xml:space="preserve"> ոլորտներում</w:t>
      </w:r>
      <w:r w:rsidR="007E4F6D" w:rsidRPr="00254197">
        <w:rPr>
          <w:rFonts w:ascii="GHEA Grapalat" w:hAnsi="GHEA Grapalat"/>
          <w:lang w:val="hy-AM"/>
        </w:rPr>
        <w:t xml:space="preserve"> գործունեության ռիսկի միավորները։</w:t>
      </w:r>
    </w:p>
    <w:p w14:paraId="00446107" w14:textId="77777777" w:rsidR="00E51BA3" w:rsidRPr="00254197" w:rsidRDefault="00E51BA3" w:rsidP="00AE29C2">
      <w:pPr>
        <w:spacing w:line="360" w:lineRule="auto"/>
        <w:ind w:firstLine="567"/>
        <w:jc w:val="both"/>
        <w:rPr>
          <w:rFonts w:ascii="GHEA Grapalat" w:hAnsi="GHEA Grapalat"/>
          <w:lang w:val="hy-AM" w:eastAsia="en-US"/>
        </w:rPr>
      </w:pPr>
    </w:p>
    <w:p w14:paraId="0E69CCC1" w14:textId="15346820" w:rsidR="006A0B71" w:rsidRPr="00254197" w:rsidRDefault="00D91104" w:rsidP="006A0B71">
      <w:pPr>
        <w:spacing w:line="360" w:lineRule="auto"/>
        <w:ind w:right="-540" w:firstLine="567"/>
        <w:jc w:val="both"/>
        <w:rPr>
          <w:rFonts w:ascii="GHEA Grapalat" w:hAnsi="GHEA Grapalat"/>
          <w:b/>
          <w:lang w:val="hy-AM"/>
        </w:rPr>
      </w:pPr>
      <w:r w:rsidRPr="00254197">
        <w:rPr>
          <w:rFonts w:ascii="GHEA Grapalat" w:hAnsi="GHEA Grapalat"/>
          <w:b/>
          <w:lang w:val="hy-AM"/>
        </w:rPr>
        <w:t>6</w:t>
      </w:r>
      <w:r w:rsidR="00725ACD" w:rsidRPr="00254197">
        <w:rPr>
          <w:rFonts w:ascii="GHEA Grapalat" w:hAnsi="GHEA Grapalat"/>
          <w:b/>
          <w:lang w:val="hy-AM"/>
        </w:rPr>
        <w:t xml:space="preserve">. </w:t>
      </w:r>
      <w:r w:rsidR="006A0B71" w:rsidRPr="00254197">
        <w:rPr>
          <w:rFonts w:ascii="GHEA Grapalat" w:hAnsi="GHEA Grapalat" w:cs="GHEA Grapalat"/>
          <w:b/>
          <w:color w:val="191919"/>
          <w:shd w:val="clear" w:color="auto" w:fill="FFFFFF"/>
          <w:lang w:val="hy-AM"/>
        </w:rPr>
        <w:t>Կապը</w:t>
      </w:r>
      <w:r w:rsidR="006A0B71" w:rsidRPr="00254197">
        <w:rPr>
          <w:rFonts w:ascii="GHEA Grapalat" w:hAnsi="GHEA Grapalat"/>
          <w:b/>
          <w:color w:val="191919"/>
          <w:shd w:val="clear" w:color="auto" w:fill="FFFFFF"/>
          <w:lang w:val="hy-AM"/>
        </w:rPr>
        <w:t xml:space="preserve"> </w:t>
      </w:r>
      <w:r w:rsidR="006A0B71" w:rsidRPr="00254197">
        <w:rPr>
          <w:rFonts w:ascii="GHEA Grapalat" w:hAnsi="GHEA Grapalat" w:cs="GHEA Grapalat"/>
          <w:b/>
          <w:color w:val="191919"/>
          <w:shd w:val="clear" w:color="auto" w:fill="FFFFFF"/>
          <w:lang w:val="hy-AM"/>
        </w:rPr>
        <w:t>ռազմավարական</w:t>
      </w:r>
      <w:r w:rsidR="006A0B71" w:rsidRPr="00254197">
        <w:rPr>
          <w:rFonts w:ascii="GHEA Grapalat" w:hAnsi="GHEA Grapalat"/>
          <w:b/>
          <w:color w:val="191919"/>
          <w:shd w:val="clear" w:color="auto" w:fill="FFFFFF"/>
          <w:lang w:val="hy-AM"/>
        </w:rPr>
        <w:t xml:space="preserve"> </w:t>
      </w:r>
      <w:r w:rsidR="006A0B71" w:rsidRPr="00254197">
        <w:rPr>
          <w:rFonts w:ascii="GHEA Grapalat" w:hAnsi="GHEA Grapalat" w:cs="GHEA Grapalat"/>
          <w:b/>
          <w:color w:val="191919"/>
          <w:shd w:val="clear" w:color="auto" w:fill="FFFFFF"/>
          <w:lang w:val="hy-AM"/>
        </w:rPr>
        <w:t>փաստաթղթերի</w:t>
      </w:r>
      <w:r w:rsidR="006A0B71" w:rsidRPr="00254197">
        <w:rPr>
          <w:rFonts w:ascii="GHEA Grapalat" w:hAnsi="GHEA Grapalat"/>
          <w:b/>
          <w:color w:val="191919"/>
          <w:shd w:val="clear" w:color="auto" w:fill="FFFFFF"/>
          <w:lang w:val="hy-AM"/>
        </w:rPr>
        <w:t xml:space="preserve"> </w:t>
      </w:r>
      <w:r w:rsidR="006A0B71" w:rsidRPr="00254197">
        <w:rPr>
          <w:rFonts w:ascii="GHEA Grapalat" w:hAnsi="GHEA Grapalat" w:cs="GHEA Grapalat"/>
          <w:b/>
          <w:color w:val="191919"/>
          <w:shd w:val="clear" w:color="auto" w:fill="FFFFFF"/>
          <w:lang w:val="hy-AM"/>
        </w:rPr>
        <w:t>հետ</w:t>
      </w:r>
      <w:r w:rsidR="006A0B71" w:rsidRPr="00254197">
        <w:rPr>
          <w:rFonts w:ascii="GHEA Grapalat" w:hAnsi="GHEA Grapalat"/>
          <w:b/>
          <w:color w:val="191919"/>
          <w:shd w:val="clear" w:color="auto" w:fill="FFFFFF"/>
          <w:lang w:val="hy-AM"/>
        </w:rPr>
        <w:t xml:space="preserve">. </w:t>
      </w:r>
      <w:r w:rsidR="006A0B71" w:rsidRPr="00254197">
        <w:rPr>
          <w:rFonts w:ascii="GHEA Grapalat" w:hAnsi="GHEA Grapalat" w:cs="GHEA Grapalat"/>
          <w:b/>
          <w:color w:val="191919"/>
          <w:shd w:val="clear" w:color="auto" w:fill="FFFFFF"/>
          <w:lang w:val="hy-AM"/>
        </w:rPr>
        <w:t>Հայաստանի</w:t>
      </w:r>
      <w:r w:rsidR="006A0B71" w:rsidRPr="00254197">
        <w:rPr>
          <w:rFonts w:ascii="GHEA Grapalat" w:hAnsi="GHEA Grapalat"/>
          <w:b/>
          <w:color w:val="191919"/>
          <w:shd w:val="clear" w:color="auto" w:fill="FFFFFF"/>
          <w:lang w:val="hy-AM"/>
        </w:rPr>
        <w:t xml:space="preserve"> </w:t>
      </w:r>
      <w:r w:rsidR="006A0B71" w:rsidRPr="00254197">
        <w:rPr>
          <w:rFonts w:ascii="GHEA Grapalat" w:hAnsi="GHEA Grapalat" w:cs="GHEA Grapalat"/>
          <w:b/>
          <w:color w:val="191919"/>
          <w:shd w:val="clear" w:color="auto" w:fill="FFFFFF"/>
          <w:lang w:val="hy-AM"/>
        </w:rPr>
        <w:t>վերափոխման</w:t>
      </w:r>
      <w:r w:rsidR="006A0B71" w:rsidRPr="00254197">
        <w:rPr>
          <w:rFonts w:ascii="GHEA Grapalat" w:hAnsi="GHEA Grapalat"/>
          <w:b/>
          <w:color w:val="191919"/>
          <w:shd w:val="clear" w:color="auto" w:fill="FFFFFF"/>
          <w:lang w:val="hy-AM"/>
        </w:rPr>
        <w:t xml:space="preserve"> </w:t>
      </w:r>
      <w:r w:rsidR="006A0B71" w:rsidRPr="00254197">
        <w:rPr>
          <w:rFonts w:ascii="GHEA Grapalat" w:hAnsi="GHEA Grapalat" w:cs="GHEA Grapalat"/>
          <w:b/>
          <w:color w:val="191919"/>
          <w:shd w:val="clear" w:color="auto" w:fill="FFFFFF"/>
          <w:lang w:val="hy-AM"/>
        </w:rPr>
        <w:t>ռազմավարություն</w:t>
      </w:r>
      <w:r w:rsidR="006A0B71" w:rsidRPr="00254197">
        <w:rPr>
          <w:rFonts w:ascii="GHEA Grapalat" w:hAnsi="GHEA Grapalat"/>
          <w:b/>
          <w:color w:val="191919"/>
          <w:shd w:val="clear" w:color="auto" w:fill="FFFFFF"/>
          <w:lang w:val="hy-AM"/>
        </w:rPr>
        <w:t xml:space="preserve"> 2050, Կառավարության 2021-2026թթ. ծրագիր, ոլորտային և/կամ այլ </w:t>
      </w:r>
      <w:proofErr w:type="spellStart"/>
      <w:r w:rsidR="006A0B71" w:rsidRPr="00254197">
        <w:rPr>
          <w:rFonts w:ascii="GHEA Grapalat" w:hAnsi="GHEA Grapalat"/>
          <w:b/>
          <w:color w:val="191919"/>
          <w:shd w:val="clear" w:color="auto" w:fill="FFFFFF"/>
          <w:lang w:val="hy-AM"/>
        </w:rPr>
        <w:t>ռազմավարություններ</w:t>
      </w:r>
      <w:proofErr w:type="spellEnd"/>
      <w:r w:rsidR="006A0B71" w:rsidRPr="00254197">
        <w:rPr>
          <w:rFonts w:ascii="GHEA Grapalat" w:hAnsi="GHEA Grapalat"/>
          <w:b/>
          <w:lang w:val="hy-AM"/>
        </w:rPr>
        <w:t>.</w:t>
      </w:r>
    </w:p>
    <w:p w14:paraId="0BE0B5E6" w14:textId="77777777" w:rsidR="006A0B71" w:rsidRPr="00254197" w:rsidRDefault="006A0B71" w:rsidP="006A0B71">
      <w:pPr>
        <w:spacing w:line="360" w:lineRule="auto"/>
        <w:ind w:right="-540" w:firstLine="567"/>
        <w:jc w:val="both"/>
        <w:rPr>
          <w:rFonts w:ascii="GHEA Grapalat" w:hAnsi="GHEA Grapalat"/>
          <w:b/>
          <w:lang w:val="hy-AM"/>
        </w:rPr>
      </w:pPr>
    </w:p>
    <w:p w14:paraId="46AEEB5B" w14:textId="77777777" w:rsidR="006A0B71" w:rsidRPr="00254197" w:rsidRDefault="006A0B71" w:rsidP="00935824">
      <w:pPr>
        <w:spacing w:line="360" w:lineRule="auto"/>
        <w:ind w:right="-23" w:firstLine="567"/>
        <w:jc w:val="both"/>
        <w:rPr>
          <w:rFonts w:ascii="GHEA Grapalat" w:hAnsi="GHEA Grapalat"/>
          <w:color w:val="000000"/>
          <w:shd w:val="clear" w:color="auto" w:fill="FFFFFF"/>
          <w:lang w:val="hy-AM"/>
        </w:rPr>
      </w:pPr>
      <w:r w:rsidRPr="00254197">
        <w:rPr>
          <w:rStyle w:val="Strong"/>
          <w:rFonts w:ascii="GHEA Grapalat" w:hAnsi="GHEA Grapalat" w:cs="Segoe UI"/>
          <w:b w:val="0"/>
          <w:bCs w:val="0"/>
          <w:color w:val="222222"/>
          <w:shd w:val="clear" w:color="auto" w:fill="FFFFFF"/>
          <w:lang w:val="hy-AM"/>
        </w:rPr>
        <w:t>Նախագիծը բխում է</w:t>
      </w:r>
      <w:r w:rsidRPr="00254197">
        <w:rPr>
          <w:rStyle w:val="Strong"/>
          <w:rFonts w:ascii="Calibri" w:hAnsi="Calibri" w:cs="Calibri"/>
          <w:b w:val="0"/>
          <w:bCs w:val="0"/>
          <w:color w:val="222222"/>
          <w:shd w:val="clear" w:color="auto" w:fill="FFFFFF"/>
          <w:lang w:val="hy-AM"/>
        </w:rPr>
        <w:t> </w:t>
      </w:r>
      <w:r w:rsidRPr="00254197">
        <w:rPr>
          <w:rStyle w:val="Strong"/>
          <w:rFonts w:ascii="GHEA Grapalat" w:hAnsi="GHEA Grapalat" w:cs="Segoe UI"/>
          <w:b w:val="0"/>
          <w:bCs w:val="0"/>
          <w:color w:val="000000"/>
          <w:shd w:val="clear" w:color="auto" w:fill="FFFFFF"/>
          <w:lang w:val="hy-AM"/>
        </w:rPr>
        <w:t xml:space="preserve">Հայաստանի Հանրապետության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որոշման </w:t>
      </w:r>
      <w:r w:rsidRPr="00254197">
        <w:rPr>
          <w:rStyle w:val="Strong"/>
          <w:rFonts w:ascii="GHEA Grapalat" w:hAnsi="GHEA Grapalat" w:cs="Segoe UI"/>
          <w:b w:val="0"/>
          <w:bCs w:val="0"/>
          <w:color w:val="000000"/>
          <w:shd w:val="clear" w:color="auto" w:fill="FFFFFF"/>
          <w:lang w:val="hy-AM"/>
        </w:rPr>
        <w:lastRenderedPageBreak/>
        <w:t xml:space="preserve">հավելվածի 11.5 ենթակետի պահանջներից, մասնավորապես՝ «Շուկայի վերահսկողության տեսչական մարմնի ոլորտը կարգավորող համապատասխան իրավական ակտի ընդունում (ոլորտի գործող օրենսդրության կատարելագործում, օրենսդրական </w:t>
      </w:r>
      <w:proofErr w:type="spellStart"/>
      <w:r w:rsidRPr="00254197">
        <w:rPr>
          <w:rStyle w:val="Strong"/>
          <w:rFonts w:ascii="GHEA Grapalat" w:hAnsi="GHEA Grapalat" w:cs="Segoe UI"/>
          <w:b w:val="0"/>
          <w:bCs w:val="0"/>
          <w:color w:val="000000"/>
          <w:shd w:val="clear" w:color="auto" w:fill="FFFFFF"/>
          <w:lang w:val="hy-AM"/>
        </w:rPr>
        <w:t>բացերի</w:t>
      </w:r>
      <w:proofErr w:type="spellEnd"/>
      <w:r w:rsidRPr="00254197">
        <w:rPr>
          <w:rStyle w:val="Strong"/>
          <w:rFonts w:ascii="GHEA Grapalat" w:hAnsi="GHEA Grapalat" w:cs="Segoe UI"/>
          <w:b w:val="0"/>
          <w:bCs w:val="0"/>
          <w:color w:val="000000"/>
          <w:shd w:val="clear" w:color="auto" w:fill="FFFFFF"/>
          <w:lang w:val="hy-AM"/>
        </w:rPr>
        <w:t xml:space="preserve"> լրացում)»:</w:t>
      </w:r>
      <w:r w:rsidRPr="00254197" w:rsidDel="00AF1835">
        <w:rPr>
          <w:rFonts w:ascii="GHEA Grapalat" w:hAnsi="GHEA Grapalat" w:cs="Arial Unicode"/>
          <w:bCs/>
          <w:lang w:val="hy-AM"/>
        </w:rPr>
        <w:t xml:space="preserve"> </w:t>
      </w:r>
    </w:p>
    <w:p w14:paraId="7184CAED" w14:textId="77777777" w:rsidR="006A0B71" w:rsidRPr="00254197" w:rsidRDefault="006A0B71" w:rsidP="00AE29C2">
      <w:pPr>
        <w:spacing w:line="360" w:lineRule="auto"/>
        <w:ind w:firstLine="567"/>
        <w:jc w:val="both"/>
        <w:rPr>
          <w:rFonts w:ascii="GHEA Grapalat" w:hAnsi="GHEA Grapalat"/>
          <w:b/>
          <w:lang w:val="hy-AM"/>
        </w:rPr>
      </w:pPr>
    </w:p>
    <w:p w14:paraId="5A4AEC02" w14:textId="78EE59B5" w:rsidR="00AD7DF5" w:rsidRDefault="006A0B71" w:rsidP="00AE29C2">
      <w:pPr>
        <w:spacing w:line="360" w:lineRule="auto"/>
        <w:ind w:firstLine="567"/>
        <w:jc w:val="both"/>
        <w:rPr>
          <w:rFonts w:ascii="GHEA Grapalat" w:hAnsi="GHEA Grapalat"/>
          <w:b/>
          <w:lang w:val="hy-AM"/>
        </w:rPr>
      </w:pPr>
      <w:bookmarkStart w:id="0" w:name="_GoBack"/>
      <w:r w:rsidRPr="00254197">
        <w:rPr>
          <w:rFonts w:ascii="GHEA Grapalat" w:hAnsi="GHEA Grapalat"/>
          <w:b/>
          <w:lang w:val="hy-AM"/>
        </w:rPr>
        <w:t>7</w:t>
      </w:r>
      <w:r w:rsidR="00725ACD" w:rsidRPr="00254197">
        <w:rPr>
          <w:rFonts w:ascii="GHEA Grapalat" w:hAnsi="GHEA Grapalat"/>
          <w:b/>
          <w:lang w:val="hy-AM"/>
        </w:rPr>
        <w:t xml:space="preserve">. </w:t>
      </w:r>
      <w:r w:rsidR="00BD7121" w:rsidRPr="00254197">
        <w:rPr>
          <w:rFonts w:ascii="GHEA Grapalat" w:hAnsi="GHEA Grapalat"/>
          <w:b/>
          <w:color w:val="000000"/>
          <w:shd w:val="clear" w:color="auto" w:fill="FFFFFF"/>
          <w:lang w:val="hy-AM"/>
        </w:rPr>
        <w:t xml:space="preserve"> Տեղեկատվություն լրացուցիչ ֆինանսական միջոցների անհրաժեշտության և պետական բյուջեի </w:t>
      </w:r>
      <w:proofErr w:type="spellStart"/>
      <w:r w:rsidR="00BD7121" w:rsidRPr="00254197">
        <w:rPr>
          <w:rFonts w:ascii="GHEA Grapalat" w:hAnsi="GHEA Grapalat"/>
          <w:b/>
          <w:color w:val="000000"/>
          <w:shd w:val="clear" w:color="auto" w:fill="FFFFFF"/>
          <w:lang w:val="hy-AM"/>
        </w:rPr>
        <w:t>եկամուտներում</w:t>
      </w:r>
      <w:proofErr w:type="spellEnd"/>
      <w:r w:rsidR="00BD7121" w:rsidRPr="00254197">
        <w:rPr>
          <w:rFonts w:ascii="GHEA Grapalat" w:hAnsi="GHEA Grapalat"/>
          <w:b/>
          <w:color w:val="000000"/>
          <w:shd w:val="clear" w:color="auto" w:fill="FFFFFF"/>
          <w:lang w:val="hy-AM"/>
        </w:rPr>
        <w:t xml:space="preserve"> և ծախսերում սպասվելիք փոփոխությունների մասին</w:t>
      </w:r>
      <w:r w:rsidR="00AD7DF5" w:rsidRPr="00254197">
        <w:rPr>
          <w:rFonts w:ascii="GHEA Grapalat" w:hAnsi="GHEA Grapalat"/>
          <w:b/>
          <w:lang w:val="hy-AM"/>
        </w:rPr>
        <w:t>)</w:t>
      </w:r>
      <w:r w:rsidR="001164FB" w:rsidRPr="00254197">
        <w:rPr>
          <w:rFonts w:ascii="GHEA Grapalat" w:hAnsi="GHEA Grapalat"/>
          <w:b/>
          <w:lang w:val="hy-AM"/>
        </w:rPr>
        <w:t>.</w:t>
      </w:r>
    </w:p>
    <w:p w14:paraId="4BA2B47A" w14:textId="77777777" w:rsidR="00725ACD" w:rsidRPr="00254197" w:rsidRDefault="00725ACD" w:rsidP="00AE29C2">
      <w:pPr>
        <w:spacing w:line="360" w:lineRule="auto"/>
        <w:ind w:firstLine="567"/>
        <w:jc w:val="both"/>
        <w:rPr>
          <w:rFonts w:ascii="GHEA Grapalat" w:hAnsi="GHEA Grapalat"/>
          <w:b/>
          <w:lang w:val="hy-AM"/>
        </w:rPr>
      </w:pPr>
    </w:p>
    <w:p w14:paraId="074CF7DA" w14:textId="77777777" w:rsidR="00A85A3B" w:rsidRPr="00254197" w:rsidRDefault="00AB2C9A" w:rsidP="00935824">
      <w:pPr>
        <w:spacing w:line="360" w:lineRule="auto"/>
        <w:ind w:right="-23" w:firstLine="567"/>
        <w:jc w:val="both"/>
        <w:rPr>
          <w:rFonts w:ascii="GHEA Grapalat" w:hAnsi="GHEA Grapalat"/>
          <w:lang w:val="hy-AM"/>
        </w:rPr>
      </w:pPr>
      <w:r w:rsidRPr="00254197">
        <w:rPr>
          <w:rStyle w:val="Strong"/>
          <w:rFonts w:ascii="GHEA Grapalat" w:hAnsi="GHEA Grapalat"/>
          <w:b w:val="0"/>
          <w:noProof/>
          <w:lang w:val="hy-AM"/>
        </w:rPr>
        <w:t>Ն</w:t>
      </w:r>
      <w:proofErr w:type="spellStart"/>
      <w:r w:rsidR="007554EA" w:rsidRPr="00254197">
        <w:rPr>
          <w:rFonts w:ascii="GHEA Grapalat" w:hAnsi="GHEA Grapalat" w:cs="Sylfaen"/>
          <w:color w:val="000000"/>
          <w:lang w:val="hy-AM"/>
        </w:rPr>
        <w:t>ախագծի</w:t>
      </w:r>
      <w:proofErr w:type="spellEnd"/>
      <w:r w:rsidR="007554EA" w:rsidRPr="00254197">
        <w:rPr>
          <w:rFonts w:ascii="GHEA Grapalat" w:hAnsi="GHEA Grapalat"/>
          <w:noProof/>
          <w:lang w:val="hy-AM"/>
        </w:rPr>
        <w:t xml:space="preserve"> ընդունման</w:t>
      </w:r>
      <w:r w:rsidR="007554EA" w:rsidRPr="00254197">
        <w:rPr>
          <w:rFonts w:ascii="GHEA Grapalat" w:hAnsi="GHEA Grapalat" w:cs="Sylfaen"/>
          <w:noProof/>
          <w:lang w:val="hy-AM"/>
        </w:rPr>
        <w:t xml:space="preserve"> </w:t>
      </w:r>
      <w:r w:rsidR="00D91104" w:rsidRPr="00254197">
        <w:rPr>
          <w:rFonts w:ascii="GHEA Grapalat" w:hAnsi="GHEA Grapalat" w:cs="Sylfaen"/>
          <w:noProof/>
          <w:lang w:val="hy-AM"/>
        </w:rPr>
        <w:t>դեպքում պետական</w:t>
      </w:r>
      <w:r w:rsidR="00D91104" w:rsidRPr="00254197">
        <w:rPr>
          <w:rFonts w:ascii="GHEA Grapalat" w:hAnsi="GHEA Grapalat" w:cs="Times Armenian"/>
          <w:noProof/>
          <w:lang w:val="hy-AM"/>
        </w:rPr>
        <w:t xml:space="preserve"> </w:t>
      </w:r>
      <w:r w:rsidR="00D91104" w:rsidRPr="00254197">
        <w:rPr>
          <w:rFonts w:ascii="GHEA Grapalat" w:hAnsi="GHEA Grapalat" w:cs="Sylfaen"/>
          <w:noProof/>
          <w:lang w:val="hy-AM"/>
        </w:rPr>
        <w:t>կամ</w:t>
      </w:r>
      <w:r w:rsidR="00D91104" w:rsidRPr="00254197">
        <w:rPr>
          <w:rFonts w:ascii="GHEA Grapalat" w:hAnsi="GHEA Grapalat"/>
          <w:noProof/>
          <w:lang w:val="hy-AM"/>
        </w:rPr>
        <w:t xml:space="preserve"> </w:t>
      </w:r>
      <w:r w:rsidR="00D91104" w:rsidRPr="00254197">
        <w:rPr>
          <w:rFonts w:ascii="GHEA Grapalat" w:hAnsi="GHEA Grapalat" w:cs="Sylfaen"/>
          <w:lang w:val="hy-AM"/>
        </w:rPr>
        <w:t>տեղական</w:t>
      </w:r>
      <w:r w:rsidR="00D91104" w:rsidRPr="00254197">
        <w:rPr>
          <w:rFonts w:ascii="GHEA Grapalat" w:hAnsi="GHEA Grapalat" w:cs="Times Armenian"/>
          <w:lang w:val="hy-AM"/>
        </w:rPr>
        <w:t xml:space="preserve"> </w:t>
      </w:r>
      <w:r w:rsidR="00D91104" w:rsidRPr="00254197">
        <w:rPr>
          <w:rFonts w:ascii="GHEA Grapalat" w:hAnsi="GHEA Grapalat" w:cs="Sylfaen"/>
          <w:lang w:val="hy-AM"/>
        </w:rPr>
        <w:t>ինքնակառավարման</w:t>
      </w:r>
      <w:r w:rsidR="00D91104" w:rsidRPr="00254197">
        <w:rPr>
          <w:rFonts w:ascii="GHEA Grapalat" w:hAnsi="GHEA Grapalat" w:cs="Times Armenian"/>
          <w:lang w:val="hy-AM"/>
        </w:rPr>
        <w:t xml:space="preserve"> </w:t>
      </w:r>
      <w:r w:rsidR="00D91104" w:rsidRPr="00254197">
        <w:rPr>
          <w:rFonts w:ascii="GHEA Grapalat" w:hAnsi="GHEA Grapalat" w:cs="Sylfaen"/>
          <w:lang w:val="hy-AM"/>
        </w:rPr>
        <w:t>մարմինների</w:t>
      </w:r>
      <w:r w:rsidR="00D91104" w:rsidRPr="00254197">
        <w:rPr>
          <w:rFonts w:ascii="GHEA Grapalat" w:hAnsi="GHEA Grapalat" w:cs="Sylfaen"/>
          <w:noProof/>
          <w:lang w:val="hy-AM"/>
        </w:rPr>
        <w:t xml:space="preserve"> բյուջեներում ծախսերի</w:t>
      </w:r>
      <w:r w:rsidR="00D91104" w:rsidRPr="00254197">
        <w:rPr>
          <w:rFonts w:ascii="GHEA Grapalat" w:hAnsi="GHEA Grapalat" w:cs="Times Armenian"/>
          <w:noProof/>
          <w:lang w:val="hy-AM"/>
        </w:rPr>
        <w:t xml:space="preserve"> և </w:t>
      </w:r>
      <w:r w:rsidR="00D91104" w:rsidRPr="00254197">
        <w:rPr>
          <w:rFonts w:ascii="GHEA Grapalat" w:hAnsi="GHEA Grapalat" w:cs="Sylfaen"/>
          <w:noProof/>
          <w:lang w:val="hy-AM"/>
        </w:rPr>
        <w:t>եկամուտների</w:t>
      </w:r>
      <w:r w:rsidR="00D91104" w:rsidRPr="00254197">
        <w:rPr>
          <w:rFonts w:ascii="GHEA Grapalat" w:hAnsi="GHEA Grapalat" w:cs="Times Armenian"/>
          <w:noProof/>
          <w:lang w:val="hy-AM"/>
        </w:rPr>
        <w:t xml:space="preserve"> </w:t>
      </w:r>
      <w:r w:rsidR="00D91104" w:rsidRPr="00254197">
        <w:rPr>
          <w:rFonts w:ascii="GHEA Grapalat" w:hAnsi="GHEA Grapalat"/>
          <w:lang w:val="hy-AM"/>
        </w:rPr>
        <w:t xml:space="preserve">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w:t>
      </w:r>
      <w:proofErr w:type="spellStart"/>
      <w:r w:rsidR="00D91104" w:rsidRPr="00254197">
        <w:rPr>
          <w:rFonts w:ascii="GHEA Grapalat" w:hAnsi="GHEA Grapalat"/>
          <w:lang w:val="hy-AM"/>
        </w:rPr>
        <w:t>ավելացումներ</w:t>
      </w:r>
      <w:proofErr w:type="spellEnd"/>
      <w:r w:rsidR="00D91104" w:rsidRPr="00254197">
        <w:rPr>
          <w:rFonts w:ascii="GHEA Grapalat" w:hAnsi="GHEA Grapalat"/>
          <w:lang w:val="hy-AM"/>
        </w:rPr>
        <w:t xml:space="preserve"> կամ նվազեցումներ չեն նախատեսվում։</w:t>
      </w:r>
    </w:p>
    <w:p w14:paraId="2ECD1002" w14:textId="77777777" w:rsidR="004301DE" w:rsidRPr="00254197" w:rsidRDefault="004301DE" w:rsidP="00AE29C2">
      <w:pPr>
        <w:spacing w:line="360" w:lineRule="auto"/>
        <w:ind w:right="-540" w:firstLine="567"/>
        <w:jc w:val="both"/>
        <w:rPr>
          <w:rFonts w:ascii="GHEA Grapalat" w:hAnsi="GHEA Grapalat"/>
          <w:lang w:val="hy-AM"/>
        </w:rPr>
      </w:pPr>
    </w:p>
    <w:bookmarkEnd w:id="0"/>
    <w:p w14:paraId="1BD0A122" w14:textId="0BC6EA2E" w:rsidR="00191ED0" w:rsidRPr="00254197" w:rsidRDefault="00191ED0" w:rsidP="00AE29C2">
      <w:pPr>
        <w:spacing w:line="360" w:lineRule="auto"/>
        <w:ind w:right="-540" w:firstLine="567"/>
        <w:jc w:val="both"/>
        <w:rPr>
          <w:rFonts w:ascii="GHEA Grapalat" w:hAnsi="GHEA Grapalat"/>
          <w:color w:val="000000"/>
          <w:shd w:val="clear" w:color="auto" w:fill="FFFFFF"/>
          <w:lang w:val="hy-AM"/>
        </w:rPr>
      </w:pPr>
    </w:p>
    <w:sectPr w:rsidR="00191ED0" w:rsidRPr="00254197" w:rsidSect="00935824">
      <w:footerReference w:type="default" r:id="rId8"/>
      <w:footerReference w:type="first" r:id="rId9"/>
      <w:pgSz w:w="12240" w:h="15840"/>
      <w:pgMar w:top="1135" w:right="758"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25C18" w14:textId="77777777" w:rsidR="00D704D6" w:rsidRDefault="00D704D6" w:rsidP="00AD7DF5">
      <w:r>
        <w:separator/>
      </w:r>
    </w:p>
  </w:endnote>
  <w:endnote w:type="continuationSeparator" w:id="0">
    <w:p w14:paraId="4E9DA54E" w14:textId="77777777" w:rsidR="00D704D6" w:rsidRDefault="00D704D6" w:rsidP="00AD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3998" w14:textId="77777777" w:rsidR="00D0335B" w:rsidRDefault="00D0335B">
    <w:pPr>
      <w:pStyle w:val="Footer"/>
    </w:pPr>
  </w:p>
  <w:p w14:paraId="309D4B92" w14:textId="77777777" w:rsidR="00D0335B" w:rsidRDefault="00D033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48F5" w14:textId="77777777" w:rsidR="00D0335B" w:rsidRPr="00453C9B" w:rsidRDefault="005549C8" w:rsidP="00D0335B">
    <w:pPr>
      <w:pStyle w:val="Footer"/>
      <w:tabs>
        <w:tab w:val="clear" w:pos="4677"/>
        <w:tab w:val="clear" w:pos="9355"/>
        <w:tab w:val="left" w:pos="1830"/>
      </w:tabs>
      <w:rPr>
        <w:rFonts w:ascii="GHEA Grapalat" w:hAnsi="GHEA Grapalat"/>
      </w:rPr>
    </w:pPr>
    <w:r>
      <w:rPr>
        <w:rFonts w:ascii="GHEA Grapalat" w:hAnsi="GHEA Grapalat"/>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E21D1" w14:textId="77777777" w:rsidR="00D704D6" w:rsidRDefault="00D704D6" w:rsidP="00AD7DF5">
      <w:r>
        <w:separator/>
      </w:r>
    </w:p>
  </w:footnote>
  <w:footnote w:type="continuationSeparator" w:id="0">
    <w:p w14:paraId="22EED5E7" w14:textId="77777777" w:rsidR="00D704D6" w:rsidRDefault="00D704D6" w:rsidP="00AD7D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1F03"/>
    <w:multiLevelType w:val="multilevel"/>
    <w:tmpl w:val="0A94210E"/>
    <w:lvl w:ilvl="0">
      <w:start w:val="1"/>
      <w:numFmt w:val="decimal"/>
      <w:lvlText w:val="%1."/>
      <w:lvlJc w:val="left"/>
      <w:pPr>
        <w:ind w:left="-90" w:hanging="360"/>
      </w:pPr>
      <w:rPr>
        <w:rFonts w:hint="default"/>
        <w:b w:val="0"/>
      </w:rPr>
    </w:lvl>
    <w:lvl w:ilvl="1">
      <w:start w:val="1"/>
      <w:numFmt w:val="decimal"/>
      <w:isLgl/>
      <w:lvlText w:val="%1.%2"/>
      <w:lvlJc w:val="left"/>
      <w:pPr>
        <w:ind w:left="525" w:hanging="43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5130" w:hanging="1800"/>
      </w:pPr>
      <w:rPr>
        <w:rFonts w:hint="default"/>
      </w:rPr>
    </w:lvl>
    <w:lvl w:ilvl="8">
      <w:start w:val="1"/>
      <w:numFmt w:val="decimal"/>
      <w:isLgl/>
      <w:lvlText w:val="%1.%2.%3.%4.%5.%6.%7.%8.%9"/>
      <w:lvlJc w:val="left"/>
      <w:pPr>
        <w:ind w:left="6030" w:hanging="2160"/>
      </w:pPr>
      <w:rPr>
        <w:rFonts w:hint="default"/>
      </w:rPr>
    </w:lvl>
  </w:abstractNum>
  <w:abstractNum w:abstractNumId="1" w15:restartNumberingAfterBreak="0">
    <w:nsid w:val="22997759"/>
    <w:multiLevelType w:val="hybridMultilevel"/>
    <w:tmpl w:val="EE6E987C"/>
    <w:lvl w:ilvl="0" w:tplc="35BAB172">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7EC3B28"/>
    <w:multiLevelType w:val="hybridMultilevel"/>
    <w:tmpl w:val="0B18DD60"/>
    <w:lvl w:ilvl="0" w:tplc="20886A8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2A262F0A"/>
    <w:multiLevelType w:val="hybridMultilevel"/>
    <w:tmpl w:val="54743620"/>
    <w:lvl w:ilvl="0" w:tplc="E246253E">
      <w:start w:val="1"/>
      <w:numFmt w:val="decimal"/>
      <w:lvlText w:val="%1."/>
      <w:lvlJc w:val="left"/>
      <w:pPr>
        <w:ind w:left="735"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4CBA3BAE"/>
    <w:multiLevelType w:val="hybridMultilevel"/>
    <w:tmpl w:val="6150999A"/>
    <w:lvl w:ilvl="0" w:tplc="3D1A701C">
      <w:start w:val="1"/>
      <w:numFmt w:val="decimal"/>
      <w:lvlText w:val="%1."/>
      <w:lvlJc w:val="left"/>
      <w:pPr>
        <w:ind w:left="1069" w:hanging="360"/>
      </w:pPr>
      <w:rPr>
        <w:rFonts w:cs="Sylfaen"/>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8100468"/>
    <w:multiLevelType w:val="hybridMultilevel"/>
    <w:tmpl w:val="6CAED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BD096F"/>
    <w:multiLevelType w:val="hybridMultilevel"/>
    <w:tmpl w:val="EE6E987C"/>
    <w:lvl w:ilvl="0" w:tplc="35BAB172">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81"/>
    <w:rsid w:val="000075A2"/>
    <w:rsid w:val="00011628"/>
    <w:rsid w:val="00037C09"/>
    <w:rsid w:val="00082C6F"/>
    <w:rsid w:val="00087B67"/>
    <w:rsid w:val="000920E0"/>
    <w:rsid w:val="000A5F53"/>
    <w:rsid w:val="000B56F8"/>
    <w:rsid w:val="000C2706"/>
    <w:rsid w:val="000E4A2B"/>
    <w:rsid w:val="0010529B"/>
    <w:rsid w:val="001164FB"/>
    <w:rsid w:val="00191ED0"/>
    <w:rsid w:val="001B005E"/>
    <w:rsid w:val="0021625B"/>
    <w:rsid w:val="00254197"/>
    <w:rsid w:val="00274FDC"/>
    <w:rsid w:val="00281CD0"/>
    <w:rsid w:val="002943DA"/>
    <w:rsid w:val="002A40DF"/>
    <w:rsid w:val="002A6B36"/>
    <w:rsid w:val="002E59BA"/>
    <w:rsid w:val="00316C78"/>
    <w:rsid w:val="00333217"/>
    <w:rsid w:val="003452D9"/>
    <w:rsid w:val="00350641"/>
    <w:rsid w:val="003567AA"/>
    <w:rsid w:val="00362936"/>
    <w:rsid w:val="0037234D"/>
    <w:rsid w:val="003807FE"/>
    <w:rsid w:val="003838C6"/>
    <w:rsid w:val="00385A5B"/>
    <w:rsid w:val="003E22A9"/>
    <w:rsid w:val="003E4604"/>
    <w:rsid w:val="004000DE"/>
    <w:rsid w:val="004301DE"/>
    <w:rsid w:val="004357A9"/>
    <w:rsid w:val="00463AA4"/>
    <w:rsid w:val="004F6506"/>
    <w:rsid w:val="00503A82"/>
    <w:rsid w:val="005549C8"/>
    <w:rsid w:val="00567828"/>
    <w:rsid w:val="00574B0B"/>
    <w:rsid w:val="005A0DC3"/>
    <w:rsid w:val="005A72C7"/>
    <w:rsid w:val="005B0230"/>
    <w:rsid w:val="005B5725"/>
    <w:rsid w:val="005D22A1"/>
    <w:rsid w:val="005F36C5"/>
    <w:rsid w:val="0061491F"/>
    <w:rsid w:val="00616695"/>
    <w:rsid w:val="00616E02"/>
    <w:rsid w:val="006313AD"/>
    <w:rsid w:val="00634565"/>
    <w:rsid w:val="006548A2"/>
    <w:rsid w:val="0066188F"/>
    <w:rsid w:val="006635CF"/>
    <w:rsid w:val="006A0B71"/>
    <w:rsid w:val="006A44AC"/>
    <w:rsid w:val="006A6DDE"/>
    <w:rsid w:val="006B155F"/>
    <w:rsid w:val="006C08A7"/>
    <w:rsid w:val="006E0B20"/>
    <w:rsid w:val="00700196"/>
    <w:rsid w:val="00725ACD"/>
    <w:rsid w:val="00726683"/>
    <w:rsid w:val="0073139B"/>
    <w:rsid w:val="00742CE3"/>
    <w:rsid w:val="00754A0C"/>
    <w:rsid w:val="007554EA"/>
    <w:rsid w:val="00773005"/>
    <w:rsid w:val="00775A9A"/>
    <w:rsid w:val="0077632B"/>
    <w:rsid w:val="00787CEE"/>
    <w:rsid w:val="0079320A"/>
    <w:rsid w:val="00794920"/>
    <w:rsid w:val="007A5B47"/>
    <w:rsid w:val="007A647A"/>
    <w:rsid w:val="007B1C2B"/>
    <w:rsid w:val="007B6758"/>
    <w:rsid w:val="007C0646"/>
    <w:rsid w:val="007D22C1"/>
    <w:rsid w:val="007E17D7"/>
    <w:rsid w:val="007E4F6D"/>
    <w:rsid w:val="00813527"/>
    <w:rsid w:val="008345DC"/>
    <w:rsid w:val="00863C0A"/>
    <w:rsid w:val="00876116"/>
    <w:rsid w:val="00895757"/>
    <w:rsid w:val="008A766B"/>
    <w:rsid w:val="008B6495"/>
    <w:rsid w:val="008C45C4"/>
    <w:rsid w:val="008F6045"/>
    <w:rsid w:val="009253CF"/>
    <w:rsid w:val="00935824"/>
    <w:rsid w:val="00944700"/>
    <w:rsid w:val="00951AB1"/>
    <w:rsid w:val="00966CB2"/>
    <w:rsid w:val="0097040F"/>
    <w:rsid w:val="0097264F"/>
    <w:rsid w:val="0098483D"/>
    <w:rsid w:val="009876E7"/>
    <w:rsid w:val="00997E61"/>
    <w:rsid w:val="009A0578"/>
    <w:rsid w:val="00A217F4"/>
    <w:rsid w:val="00A5051B"/>
    <w:rsid w:val="00A7644E"/>
    <w:rsid w:val="00A85A3B"/>
    <w:rsid w:val="00A90C83"/>
    <w:rsid w:val="00AA7D1F"/>
    <w:rsid w:val="00AB2C9A"/>
    <w:rsid w:val="00AD067D"/>
    <w:rsid w:val="00AD7DF5"/>
    <w:rsid w:val="00AE29C2"/>
    <w:rsid w:val="00AF1835"/>
    <w:rsid w:val="00AF770B"/>
    <w:rsid w:val="00B50794"/>
    <w:rsid w:val="00B57D01"/>
    <w:rsid w:val="00B60304"/>
    <w:rsid w:val="00B804A5"/>
    <w:rsid w:val="00B923D7"/>
    <w:rsid w:val="00BC4E0E"/>
    <w:rsid w:val="00BD7121"/>
    <w:rsid w:val="00BF1137"/>
    <w:rsid w:val="00BF38A9"/>
    <w:rsid w:val="00C26237"/>
    <w:rsid w:val="00C324F0"/>
    <w:rsid w:val="00CE0F43"/>
    <w:rsid w:val="00CE2EEE"/>
    <w:rsid w:val="00CF7791"/>
    <w:rsid w:val="00D00845"/>
    <w:rsid w:val="00D0335B"/>
    <w:rsid w:val="00D06FF5"/>
    <w:rsid w:val="00D15A21"/>
    <w:rsid w:val="00D36565"/>
    <w:rsid w:val="00D37ECA"/>
    <w:rsid w:val="00D47819"/>
    <w:rsid w:val="00D5554B"/>
    <w:rsid w:val="00D63D30"/>
    <w:rsid w:val="00D66EDC"/>
    <w:rsid w:val="00D704D6"/>
    <w:rsid w:val="00D91104"/>
    <w:rsid w:val="00DA30D1"/>
    <w:rsid w:val="00DB089B"/>
    <w:rsid w:val="00DF78F3"/>
    <w:rsid w:val="00E160E4"/>
    <w:rsid w:val="00E2547D"/>
    <w:rsid w:val="00E37D41"/>
    <w:rsid w:val="00E43AA4"/>
    <w:rsid w:val="00E51BA3"/>
    <w:rsid w:val="00E5710E"/>
    <w:rsid w:val="00E742F1"/>
    <w:rsid w:val="00E76E79"/>
    <w:rsid w:val="00EC4181"/>
    <w:rsid w:val="00EE2F92"/>
    <w:rsid w:val="00EF03BE"/>
    <w:rsid w:val="00F04BA3"/>
    <w:rsid w:val="00F553ED"/>
    <w:rsid w:val="00F64858"/>
    <w:rsid w:val="00F827C7"/>
    <w:rsid w:val="00FB7A16"/>
    <w:rsid w:val="00FE3630"/>
    <w:rsid w:val="00FE47E5"/>
    <w:rsid w:val="00F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8A17"/>
  <w15:chartTrackingRefBased/>
  <w15:docId w15:val="{D3C083EA-970A-4019-9081-BAD399DD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DF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D7DF5"/>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AD7DF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D7DF5"/>
    <w:pPr>
      <w:tabs>
        <w:tab w:val="center" w:pos="4680"/>
        <w:tab w:val="right" w:pos="9360"/>
      </w:tabs>
    </w:pPr>
  </w:style>
  <w:style w:type="character" w:customStyle="1" w:styleId="HeaderChar">
    <w:name w:val="Header Char"/>
    <w:basedOn w:val="DefaultParagraphFont"/>
    <w:link w:val="Header"/>
    <w:uiPriority w:val="99"/>
    <w:rsid w:val="00AD7DF5"/>
    <w:rPr>
      <w:rFonts w:ascii="Times New Roman" w:eastAsia="Times New Roman" w:hAnsi="Times New Roman" w:cs="Times New Roman"/>
      <w:sz w:val="24"/>
      <w:szCs w:val="24"/>
      <w:lang w:val="ru-RU" w:eastAsia="ru-RU"/>
    </w:rPr>
  </w:style>
  <w:style w:type="character" w:styleId="Strong">
    <w:name w:val="Strong"/>
    <w:uiPriority w:val="22"/>
    <w:qFormat/>
    <w:rsid w:val="00AD7DF5"/>
    <w:rPr>
      <w:b/>
      <w:b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AD7DF5"/>
    <w:pPr>
      <w:spacing w:after="200" w:line="276" w:lineRule="auto"/>
      <w:ind w:left="720"/>
      <w:contextualSpacing/>
    </w:pPr>
    <w:rPr>
      <w:rFonts w:ascii="Calibri" w:hAnsi="Calibri"/>
      <w:sz w:val="22"/>
      <w:szCs w:val="22"/>
    </w:rPr>
  </w:style>
  <w:style w:type="table" w:styleId="TableGrid">
    <w:name w:val="Table Grid"/>
    <w:basedOn w:val="TableNormal"/>
    <w:uiPriority w:val="59"/>
    <w:rsid w:val="00AD7DF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Char Char Char1"/>
    <w:basedOn w:val="Normal"/>
    <w:link w:val="NormalWebChar"/>
    <w:uiPriority w:val="99"/>
    <w:unhideWhenUsed/>
    <w:qFormat/>
    <w:rsid w:val="00AD7DF5"/>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616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695"/>
    <w:rPr>
      <w:rFonts w:ascii="Segoe UI" w:eastAsia="Times New Roman" w:hAnsi="Segoe UI" w:cs="Segoe UI"/>
      <w:sz w:val="18"/>
      <w:szCs w:val="18"/>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D0084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4FDC"/>
    <w:rPr>
      <w:color w:val="0563C1" w:themeColor="hyperlink"/>
      <w:u w:val="single"/>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951AB1"/>
    <w:rPr>
      <w:rFonts w:ascii="Calibri" w:eastAsia="Times New Roman" w:hAnsi="Calibri" w:cs="Times New Roman"/>
      <w:lang w:val="ru-RU" w:eastAsia="ru-RU"/>
    </w:rPr>
  </w:style>
  <w:style w:type="character" w:customStyle="1" w:styleId="mechtexChar">
    <w:name w:val="mechtex Char"/>
    <w:link w:val="mechtex"/>
    <w:locked/>
    <w:rsid w:val="00D37ECA"/>
    <w:rPr>
      <w:rFonts w:ascii="Arial Armenian" w:hAnsi="Arial Armenian" w:cs="Arial Armenian"/>
      <w:lang w:eastAsia="ru-RU"/>
    </w:rPr>
  </w:style>
  <w:style w:type="paragraph" w:customStyle="1" w:styleId="mechtex">
    <w:name w:val="mechtex"/>
    <w:basedOn w:val="Normal"/>
    <w:link w:val="mechtexChar"/>
    <w:qFormat/>
    <w:rsid w:val="00D37ECA"/>
    <w:pPr>
      <w:jc w:val="center"/>
    </w:pPr>
    <w:rPr>
      <w:rFonts w:ascii="Arial Armenian" w:eastAsiaTheme="minorHAnsi" w:hAnsi="Arial Armenian" w:cs="Arial Armenian"/>
      <w:sz w:val="22"/>
      <w:szCs w:val="22"/>
      <w:lang w:val="en-US"/>
    </w:rPr>
  </w:style>
  <w:style w:type="character" w:styleId="CommentReference">
    <w:name w:val="annotation reference"/>
    <w:basedOn w:val="DefaultParagraphFont"/>
    <w:uiPriority w:val="99"/>
    <w:semiHidden/>
    <w:unhideWhenUsed/>
    <w:rsid w:val="00CE2EEE"/>
    <w:rPr>
      <w:sz w:val="16"/>
      <w:szCs w:val="16"/>
    </w:rPr>
  </w:style>
  <w:style w:type="paragraph" w:styleId="CommentText">
    <w:name w:val="annotation text"/>
    <w:basedOn w:val="Normal"/>
    <w:link w:val="CommentTextChar"/>
    <w:uiPriority w:val="99"/>
    <w:unhideWhenUsed/>
    <w:rsid w:val="00CE2EEE"/>
    <w:rPr>
      <w:sz w:val="20"/>
      <w:szCs w:val="20"/>
    </w:rPr>
  </w:style>
  <w:style w:type="character" w:customStyle="1" w:styleId="CommentTextChar">
    <w:name w:val="Comment Text Char"/>
    <w:basedOn w:val="DefaultParagraphFont"/>
    <w:link w:val="CommentText"/>
    <w:uiPriority w:val="99"/>
    <w:rsid w:val="00CE2EE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CE2EEE"/>
    <w:rPr>
      <w:b/>
      <w:bCs/>
    </w:rPr>
  </w:style>
  <w:style w:type="character" w:customStyle="1" w:styleId="CommentSubjectChar">
    <w:name w:val="Comment Subject Char"/>
    <w:basedOn w:val="CommentTextChar"/>
    <w:link w:val="CommentSubject"/>
    <w:uiPriority w:val="99"/>
    <w:semiHidden/>
    <w:rsid w:val="00CE2EEE"/>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7592">
      <w:bodyDiv w:val="1"/>
      <w:marLeft w:val="0"/>
      <w:marRight w:val="0"/>
      <w:marTop w:val="0"/>
      <w:marBottom w:val="0"/>
      <w:divBdr>
        <w:top w:val="none" w:sz="0" w:space="0" w:color="auto"/>
        <w:left w:val="none" w:sz="0" w:space="0" w:color="auto"/>
        <w:bottom w:val="none" w:sz="0" w:space="0" w:color="auto"/>
        <w:right w:val="none" w:sz="0" w:space="0" w:color="auto"/>
      </w:divBdr>
    </w:div>
    <w:div w:id="173963944">
      <w:bodyDiv w:val="1"/>
      <w:marLeft w:val="0"/>
      <w:marRight w:val="0"/>
      <w:marTop w:val="0"/>
      <w:marBottom w:val="0"/>
      <w:divBdr>
        <w:top w:val="none" w:sz="0" w:space="0" w:color="auto"/>
        <w:left w:val="none" w:sz="0" w:space="0" w:color="auto"/>
        <w:bottom w:val="none" w:sz="0" w:space="0" w:color="auto"/>
        <w:right w:val="none" w:sz="0" w:space="0" w:color="auto"/>
      </w:divBdr>
    </w:div>
    <w:div w:id="477914735">
      <w:bodyDiv w:val="1"/>
      <w:marLeft w:val="0"/>
      <w:marRight w:val="0"/>
      <w:marTop w:val="0"/>
      <w:marBottom w:val="0"/>
      <w:divBdr>
        <w:top w:val="none" w:sz="0" w:space="0" w:color="auto"/>
        <w:left w:val="none" w:sz="0" w:space="0" w:color="auto"/>
        <w:bottom w:val="none" w:sz="0" w:space="0" w:color="auto"/>
        <w:right w:val="none" w:sz="0" w:space="0" w:color="auto"/>
      </w:divBdr>
    </w:div>
    <w:div w:id="527062574">
      <w:bodyDiv w:val="1"/>
      <w:marLeft w:val="0"/>
      <w:marRight w:val="0"/>
      <w:marTop w:val="0"/>
      <w:marBottom w:val="0"/>
      <w:divBdr>
        <w:top w:val="none" w:sz="0" w:space="0" w:color="auto"/>
        <w:left w:val="none" w:sz="0" w:space="0" w:color="auto"/>
        <w:bottom w:val="none" w:sz="0" w:space="0" w:color="auto"/>
        <w:right w:val="none" w:sz="0" w:space="0" w:color="auto"/>
      </w:divBdr>
      <w:divsChild>
        <w:div w:id="1165172695">
          <w:marLeft w:val="0"/>
          <w:marRight w:val="0"/>
          <w:marTop w:val="0"/>
          <w:marBottom w:val="0"/>
          <w:divBdr>
            <w:top w:val="none" w:sz="0" w:space="0" w:color="auto"/>
            <w:left w:val="none" w:sz="0" w:space="0" w:color="auto"/>
            <w:bottom w:val="none" w:sz="0" w:space="0" w:color="auto"/>
            <w:right w:val="none" w:sz="0" w:space="0" w:color="auto"/>
          </w:divBdr>
          <w:divsChild>
            <w:div w:id="929779685">
              <w:marLeft w:val="0"/>
              <w:marRight w:val="0"/>
              <w:marTop w:val="0"/>
              <w:marBottom w:val="0"/>
              <w:divBdr>
                <w:top w:val="none" w:sz="0" w:space="0" w:color="auto"/>
                <w:left w:val="none" w:sz="0" w:space="0" w:color="auto"/>
                <w:bottom w:val="none" w:sz="0" w:space="0" w:color="auto"/>
                <w:right w:val="none" w:sz="0" w:space="0" w:color="auto"/>
              </w:divBdr>
            </w:div>
            <w:div w:id="1253658494">
              <w:marLeft w:val="0"/>
              <w:marRight w:val="0"/>
              <w:marTop w:val="0"/>
              <w:marBottom w:val="0"/>
              <w:divBdr>
                <w:top w:val="none" w:sz="0" w:space="0" w:color="auto"/>
                <w:left w:val="none" w:sz="0" w:space="0" w:color="auto"/>
                <w:bottom w:val="none" w:sz="0" w:space="0" w:color="auto"/>
                <w:right w:val="none" w:sz="0" w:space="0" w:color="auto"/>
              </w:divBdr>
              <w:divsChild>
                <w:div w:id="7732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7463">
      <w:bodyDiv w:val="1"/>
      <w:marLeft w:val="0"/>
      <w:marRight w:val="0"/>
      <w:marTop w:val="0"/>
      <w:marBottom w:val="0"/>
      <w:divBdr>
        <w:top w:val="none" w:sz="0" w:space="0" w:color="auto"/>
        <w:left w:val="none" w:sz="0" w:space="0" w:color="auto"/>
        <w:bottom w:val="none" w:sz="0" w:space="0" w:color="auto"/>
        <w:right w:val="none" w:sz="0" w:space="0" w:color="auto"/>
      </w:divBdr>
    </w:div>
    <w:div w:id="1744253086">
      <w:bodyDiv w:val="1"/>
      <w:marLeft w:val="0"/>
      <w:marRight w:val="0"/>
      <w:marTop w:val="0"/>
      <w:marBottom w:val="0"/>
      <w:divBdr>
        <w:top w:val="none" w:sz="0" w:space="0" w:color="auto"/>
        <w:left w:val="none" w:sz="0" w:space="0" w:color="auto"/>
        <w:bottom w:val="none" w:sz="0" w:space="0" w:color="auto"/>
        <w:right w:val="none" w:sz="0" w:space="0" w:color="auto"/>
      </w:divBdr>
    </w:div>
    <w:div w:id="1975285135">
      <w:bodyDiv w:val="1"/>
      <w:marLeft w:val="0"/>
      <w:marRight w:val="0"/>
      <w:marTop w:val="0"/>
      <w:marBottom w:val="0"/>
      <w:divBdr>
        <w:top w:val="none" w:sz="0" w:space="0" w:color="auto"/>
        <w:left w:val="none" w:sz="0" w:space="0" w:color="auto"/>
        <w:bottom w:val="none" w:sz="0" w:space="0" w:color="auto"/>
        <w:right w:val="none" w:sz="0" w:space="0" w:color="auto"/>
      </w:divBdr>
    </w:div>
    <w:div w:id="210680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D2A5-7663-4D22-B54F-7A5CAD3C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 H. Kurghinyan</dc:creator>
  <cp:keywords>https:/mul2-mineconomy.gov.am/tasks/207080/oneclick/N-393.docx?token=9741572685181797afebcd86bf6a7275</cp:keywords>
  <dc:description/>
  <cp:lastModifiedBy>Lilit Azatyan</cp:lastModifiedBy>
  <cp:revision>15</cp:revision>
  <cp:lastPrinted>2022-07-22T13:22:00Z</cp:lastPrinted>
  <dcterms:created xsi:type="dcterms:W3CDTF">2022-07-26T13:01:00Z</dcterms:created>
  <dcterms:modified xsi:type="dcterms:W3CDTF">2022-07-27T05:23:00Z</dcterms:modified>
</cp:coreProperties>
</file>