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E0" w:rsidRDefault="00F867E0" w:rsidP="00005308">
      <w:pPr>
        <w:spacing w:after="0" w:line="360" w:lineRule="auto"/>
        <w:ind w:right="49"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867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ՀԻՄՆԱՎՈՐՈՒՄ</w:t>
      </w:r>
    </w:p>
    <w:p w:rsidR="00463933" w:rsidRDefault="00463933" w:rsidP="00005308">
      <w:pPr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867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Pr="003C5001">
        <w:rPr>
          <w:rFonts w:ascii="GHEA Grapalat" w:hAnsi="GHEA Grapalat"/>
          <w:b/>
          <w:sz w:val="24"/>
          <w:szCs w:val="24"/>
        </w:rPr>
        <w:t>ՀԱ</w:t>
      </w:r>
      <w:r>
        <w:rPr>
          <w:rFonts w:ascii="GHEA Grapalat" w:hAnsi="GHEA Grapalat"/>
          <w:b/>
          <w:sz w:val="24"/>
          <w:szCs w:val="24"/>
        </w:rPr>
        <w:t>ՅԱՍՏԱՆԻ ՀԱՆՐԱՊԵՏՈՒԹՅԱՆ ՀԱՐԿԱՅԻՆ ՕՐԵՆՍԳՐՔՈՒՄ ՓՈՓՈԽՈՒԹՅՈՒՆ</w:t>
      </w:r>
      <w:r w:rsidR="00423458"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Pr="00F867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»</w:t>
      </w:r>
    </w:p>
    <w:p w:rsidR="00F867E0" w:rsidRPr="00F867E0" w:rsidRDefault="00463933" w:rsidP="00005308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867E0" w:rsidRPr="00F867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867E0" w:rsidRPr="00F867E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 ԸՆԴՈՒՆՄԱՆ ԱՆՀՐԱԺԵՇՏՈՒԹՅԱՆ ՄԱՍԻՆ</w:t>
      </w:r>
    </w:p>
    <w:p w:rsidR="009B5847" w:rsidRPr="00C3470F" w:rsidRDefault="00F867E0" w:rsidP="00005308">
      <w:pPr>
        <w:spacing w:after="0" w:line="360" w:lineRule="auto"/>
        <w:ind w:left="720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F867E0">
        <w:rPr>
          <w:rFonts w:ascii="Times New Roman" w:eastAsia="Times New Roman" w:hAnsi="Times New Roman" w:cs="Times New Roman"/>
          <w:sz w:val="24"/>
          <w:szCs w:val="24"/>
        </w:rPr>
        <w:br/>
      </w:r>
      <w:r w:rsidR="00005308" w:rsidRPr="00C3470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Ի</w:t>
      </w:r>
      <w:r w:rsidR="009B5847" w:rsidRPr="00C3470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րավական ակտի ընդունման անհրաժեշտությունը.</w:t>
      </w:r>
    </w:p>
    <w:p w:rsidR="00C3470F" w:rsidRPr="00C3470F" w:rsidRDefault="007E738D" w:rsidP="00C3470F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470F">
        <w:rPr>
          <w:rFonts w:ascii="GHEA Grapalat" w:hAnsi="GHEA Grapalat"/>
          <w:sz w:val="24"/>
          <w:szCs w:val="24"/>
          <w:lang w:val="hy-AM"/>
        </w:rPr>
        <w:t>ՀՀ Հարկային օրենսգրք</w:t>
      </w:r>
      <w:r w:rsidR="0034143C" w:rsidRPr="00C3470F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012F8F" w:rsidRPr="00C3470F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34143C" w:rsidRPr="00C3470F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34143C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անշարժ գույքի հարկի հաշվարկման և վճարման համար հաշվետու ժամանակա</w:t>
      </w:r>
      <w:r w:rsidR="00423458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շրջան է համարվում յուրաքանչյուր </w:t>
      </w:r>
      <w:r w:rsidR="00FF75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հաշվետու տարին, </w:t>
      </w:r>
      <w:bookmarkStart w:id="0" w:name="_GoBack"/>
      <w:bookmarkEnd w:id="0"/>
      <w:r w:rsidR="0034143C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</w:t>
      </w:r>
      <w:r w:rsidR="0034143C" w:rsidRPr="00C3470F">
        <w:rPr>
          <w:rFonts w:ascii="GHEA Grapalat" w:hAnsi="GHEA Grapalat"/>
          <w:sz w:val="24"/>
          <w:szCs w:val="24"/>
          <w:lang w:val="hy-AM"/>
        </w:rPr>
        <w:t>վճարման ժամանա</w:t>
      </w:r>
      <w:r w:rsidR="004C5184" w:rsidRPr="00C3470F">
        <w:rPr>
          <w:rFonts w:ascii="GHEA Grapalat" w:hAnsi="GHEA Grapalat"/>
          <w:sz w:val="24"/>
          <w:szCs w:val="24"/>
          <w:lang w:val="hy-AM"/>
        </w:rPr>
        <w:t>կահատվածը՝ մինչև հարկային տարվա դեկտեմբերի 1-ը ներառյալ</w:t>
      </w:r>
      <w:r w:rsidRPr="00C3470F">
        <w:rPr>
          <w:rFonts w:ascii="GHEA Grapalat" w:hAnsi="GHEA Grapalat"/>
          <w:sz w:val="24"/>
          <w:szCs w:val="24"/>
          <w:lang w:val="hy-AM"/>
        </w:rPr>
        <w:t>,</w:t>
      </w:r>
      <w:r w:rsidR="004C5184" w:rsidRPr="00C3470F">
        <w:rPr>
          <w:rFonts w:ascii="GHEA Grapalat" w:hAnsi="GHEA Grapalat"/>
          <w:sz w:val="24"/>
          <w:szCs w:val="24"/>
          <w:lang w:val="hy-AM"/>
        </w:rPr>
        <w:t xml:space="preserve"> նշվածը որոշակի խնդիրներ է ստեղծում համանքային բյուջեի եկամտային մասի պլանավորման ժամանակ, հաշվի առնելով, որ կազմակերպությունների մեծ մասը անշարժ գույքի գծով իրենց պարտավորությոնները կատարում են 4-րդ եռամսյակում</w:t>
      </w:r>
      <w:r w:rsidR="00F867E0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որից ելնելով առաջանում է օրենսդրական փոփոխություններ կատարելու անհրաժեշտություն:</w:t>
      </w:r>
    </w:p>
    <w:p w:rsidR="00F867E0" w:rsidRPr="00C3470F" w:rsidRDefault="009B5847" w:rsidP="00C3470F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470F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Առկա խնդիրների առաջարկվող լուծումները և </w:t>
      </w:r>
      <w:r w:rsidRPr="00C3470F">
        <w:rPr>
          <w:rFonts w:ascii="GHEA Grapalat" w:eastAsia="Calibri" w:hAnsi="GHEA Grapalat" w:cs="GHEA Grapalat"/>
          <w:b/>
          <w:bCs/>
          <w:iCs/>
          <w:sz w:val="24"/>
          <w:szCs w:val="24"/>
          <w:lang w:val="hy-AM"/>
        </w:rPr>
        <w:t>կարգավորման առարկան.</w:t>
      </w:r>
    </w:p>
    <w:p w:rsidR="00423458" w:rsidRPr="00C3470F" w:rsidRDefault="00012F8F" w:rsidP="004234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470F">
        <w:rPr>
          <w:rFonts w:ascii="GHEA Grapalat" w:hAnsi="GHEA Grapalat"/>
          <w:sz w:val="24"/>
          <w:szCs w:val="24"/>
          <w:lang w:val="hy-AM"/>
        </w:rPr>
        <w:t xml:space="preserve">Անշարժ գույքի հարկի գծով ընթացիկ պարտավորությունները կազմում են համայնքի սեփական եկամուտների մեծ մասը, իսկ կազմակերպությունների պարտավորությունները այդ պարտավորությունների կառուցվածքում </w:t>
      </w:r>
      <w:r w:rsidR="00BC5FE3" w:rsidRPr="00C3470F">
        <w:rPr>
          <w:rFonts w:ascii="GHEA Grapalat" w:hAnsi="GHEA Grapalat"/>
          <w:sz w:val="24"/>
          <w:szCs w:val="24"/>
          <w:lang w:val="hy-AM"/>
        </w:rPr>
        <w:t>մեծ դեր ունեն, հաշվի առնելով, որ ի տարբերություն ֆիզիկական անձանց համեմատաբար միանվագ մեծ գումարների հոսք են ապահովում համայնքի բյուջե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, որից ելնելով համայնքի բյուջեի եկամտային մասի պլանավորման և կատարման ժամանակ որոշակի խնդիրներ են առաջանում պայմանավորված այն հանգամանքով, որ գործող </w:t>
      </w:r>
      <w:r w:rsidR="007E738D" w:rsidRPr="00C3470F">
        <w:rPr>
          <w:rFonts w:ascii="GHEA Grapalat" w:hAnsi="GHEA Grapalat"/>
          <w:sz w:val="24"/>
          <w:szCs w:val="24"/>
          <w:lang w:val="hy-AM"/>
        </w:rPr>
        <w:t>ՀՀ Հարկային օրենսգրք</w:t>
      </w:r>
      <w:r w:rsidRPr="00C3470F">
        <w:rPr>
          <w:rFonts w:ascii="GHEA Grapalat" w:hAnsi="GHEA Grapalat"/>
          <w:sz w:val="24"/>
          <w:szCs w:val="24"/>
          <w:lang w:val="hy-AM"/>
        </w:rPr>
        <w:t>ի 232</w:t>
      </w:r>
      <w:r w:rsidR="00423458" w:rsidRPr="00C3470F">
        <w:rPr>
          <w:rFonts w:ascii="GHEA Grapalat" w:hAnsi="GHEA Grapalat"/>
          <w:sz w:val="24"/>
          <w:szCs w:val="24"/>
          <w:lang w:val="hy-AM"/>
        </w:rPr>
        <w:t>-րդ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 հոդվածով կազմակերպությունների համար </w:t>
      </w:r>
      <w:r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անշարժ գույքի հարկի հաշվարկման և վճարման համար հաշվետու ժամանակաշրջան է համարվում յուրաքանչյուր հաշվետու տարին, </w:t>
      </w:r>
      <w:r w:rsidR="00423458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</w:t>
      </w:r>
      <w:r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հարկային օրենսգրքի 236</w:t>
      </w:r>
      <w:r w:rsidR="00423458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հոդվածի համաձայն՝ 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վճարման ժամանակահատվածը՝ մինչև հարկային տարվա դեկտեմբերի 1-ը ներառյալ: </w:t>
      </w:r>
    </w:p>
    <w:p w:rsidR="00012F8F" w:rsidRPr="00C3470F" w:rsidRDefault="00BC5FE3" w:rsidP="004234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470F">
        <w:rPr>
          <w:rFonts w:ascii="GHEA Grapalat" w:hAnsi="GHEA Grapalat"/>
          <w:sz w:val="24"/>
          <w:szCs w:val="24"/>
          <w:lang w:val="hy-AM"/>
        </w:rPr>
        <w:lastRenderedPageBreak/>
        <w:t xml:space="preserve">Ընդ </w:t>
      </w:r>
      <w:r w:rsidR="00423458" w:rsidRPr="00C3470F">
        <w:rPr>
          <w:rFonts w:ascii="GHEA Grapalat" w:hAnsi="GHEA Grapalat"/>
          <w:sz w:val="24"/>
          <w:szCs w:val="24"/>
          <w:lang w:val="hy-AM"/>
        </w:rPr>
        <w:t>ո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րում </w:t>
      </w:r>
      <w:r w:rsidR="00423458" w:rsidRPr="00C3470F">
        <w:rPr>
          <w:rFonts w:ascii="GHEA Grapalat" w:hAnsi="GHEA Grapalat"/>
          <w:sz w:val="24"/>
          <w:szCs w:val="24"/>
          <w:lang w:val="hy-AM"/>
        </w:rPr>
        <w:t>հարկ է նկատի ունենալ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423458" w:rsidRPr="00C3470F">
        <w:rPr>
          <w:rFonts w:ascii="GHEA Grapalat" w:hAnsi="GHEA Grapalat"/>
          <w:sz w:val="24"/>
          <w:szCs w:val="24"/>
          <w:lang w:val="hy-AM"/>
        </w:rPr>
        <w:t>կազմակերպությունների համար</w:t>
      </w:r>
      <w:r w:rsidR="00423458" w:rsidRPr="00C347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C347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Pr="00C3470F">
        <w:rPr>
          <w:rFonts w:ascii="GHEA Grapalat" w:hAnsi="GHEA Grapalat"/>
          <w:sz w:val="24"/>
          <w:szCs w:val="24"/>
          <w:lang w:val="hy-AM"/>
        </w:rPr>
        <w:t>Գույքահարկի մասին</w:t>
      </w:r>
      <w:r w:rsidRPr="00C347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423458" w:rsidRPr="00C347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470F">
        <w:rPr>
          <w:rFonts w:ascii="GHEA Grapalat" w:hAnsi="GHEA Grapalat"/>
          <w:sz w:val="24"/>
          <w:szCs w:val="24"/>
          <w:lang w:val="hy-AM"/>
        </w:rPr>
        <w:t>ՀՀ օրենքով</w:t>
      </w:r>
      <w:r w:rsidR="00423458" w:rsidRPr="00C3470F">
        <w:rPr>
          <w:rFonts w:ascii="GHEA Grapalat" w:hAnsi="GHEA Grapalat"/>
          <w:sz w:val="24"/>
          <w:szCs w:val="24"/>
          <w:lang w:val="hy-AM"/>
        </w:rPr>
        <w:t xml:space="preserve"> նույնպես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 (ուժը կորցրել է 01.01.2021 թվականից` 04.10.16</w:t>
      </w:r>
      <w:r w:rsidRPr="00C3470F">
        <w:rPr>
          <w:rFonts w:ascii="Calibri" w:hAnsi="Calibri" w:cs="Calibri"/>
          <w:sz w:val="24"/>
          <w:szCs w:val="24"/>
          <w:lang w:val="hy-AM"/>
        </w:rPr>
        <w:t> </w:t>
      </w:r>
      <w:hyperlink r:id="rId5" w:history="1">
        <w:r w:rsidRPr="00C3470F">
          <w:rPr>
            <w:rFonts w:ascii="GHEA Grapalat" w:hAnsi="GHEA Grapalat"/>
            <w:sz w:val="24"/>
            <w:szCs w:val="24"/>
            <w:lang w:val="hy-AM"/>
          </w:rPr>
          <w:t>ՀՕ-165-Ն</w:t>
        </w:r>
      </w:hyperlink>
      <w:r w:rsidRPr="00C3470F">
        <w:rPr>
          <w:rFonts w:ascii="Calibri" w:hAnsi="Calibri" w:cs="Calibri"/>
          <w:sz w:val="24"/>
          <w:szCs w:val="24"/>
          <w:lang w:val="hy-AM"/>
        </w:rPr>
        <w:t> </w:t>
      </w:r>
      <w:r w:rsidRPr="00C3470F">
        <w:rPr>
          <w:rFonts w:ascii="GHEA Grapalat" w:hAnsi="GHEA Grapalat"/>
          <w:sz w:val="24"/>
          <w:szCs w:val="24"/>
          <w:lang w:val="hy-AM"/>
        </w:rPr>
        <w:t>օրենք) նմանատիպ՝ կիսամյակային հաշվարկման և վճարման կարգավորումներ էր սահմանված, որը սակայն ՀՀ հարկային օրենսգրքում չի ներառվել:</w:t>
      </w:r>
    </w:p>
    <w:p w:rsidR="001A6B08" w:rsidRPr="00C3470F" w:rsidRDefault="007E738D" w:rsidP="00005308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>Ելնելով վերոգրյալից, առաջարկվում է համապատասխան փոփոխություն կատարել ՀՀ հարկային օրենսգրքում</w:t>
      </w:r>
      <w:r w:rsidR="001A6B08"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 xml:space="preserve">՝ կազմակերպությունների համար անշարժ գույքի հարկի հաշվարկման և վճարման համար հաշվետու ժամանակաշրջան համարել հաշվետու տարվա կիսամյակը, իսկ վճարումը իրականացնել </w:t>
      </w:r>
      <w:r w:rsidR="00423458"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>1-ին</w:t>
      </w:r>
      <w:r w:rsidR="001A6B08"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 xml:space="preserve"> կիսամյակի համար՝ մինչև հարկային տարվա </w:t>
      </w:r>
      <w:r w:rsidR="00334648"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 xml:space="preserve">հունիսի 1-ը </w:t>
      </w:r>
      <w:r w:rsidR="001A6B08"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 xml:space="preserve">ներառյալ, 2-րդ կիսամյակի համար՝ մինչև հարկային տարվա </w:t>
      </w:r>
      <w:r w:rsidR="00334648"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 xml:space="preserve">դեկտեմբերի 1-ը </w:t>
      </w:r>
      <w:r w:rsidR="001A6B08" w:rsidRPr="00C3470F">
        <w:rPr>
          <w:rFonts w:ascii="GHEA Grapalat" w:hAnsi="GHEA Grapalat"/>
          <w:b/>
          <w:bCs/>
          <w:i/>
          <w:sz w:val="24"/>
          <w:szCs w:val="24"/>
          <w:u w:val="single"/>
          <w:lang w:val="hy-AM"/>
        </w:rPr>
        <w:t>ներառյալ:</w:t>
      </w:r>
      <w:r w:rsidR="001A6B08" w:rsidRPr="00C3470F"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</w:p>
    <w:p w:rsidR="00F867E0" w:rsidRPr="00C3470F" w:rsidRDefault="00F867E0" w:rsidP="00005308">
      <w:pPr>
        <w:spacing w:after="0" w:line="360" w:lineRule="auto"/>
        <w:ind w:firstLine="720"/>
        <w:jc w:val="both"/>
        <w:rPr>
          <w:rFonts w:ascii="GHEA Grapalat" w:eastAsia="Calibri" w:hAnsi="GHEA Grapalat" w:cs="GHEA Grapalat"/>
          <w:bCs/>
          <w:iCs/>
          <w:color w:val="000000"/>
          <w:sz w:val="24"/>
          <w:szCs w:val="24"/>
          <w:lang w:val="hy-AM"/>
        </w:rPr>
      </w:pPr>
      <w:r w:rsidRPr="00C347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Նախագծի մշակման գործընթացում ներգրավված ինստիտուտները և անձիք</w:t>
      </w:r>
      <w:r w:rsidR="009B5847" w:rsidRPr="00C347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</w:p>
    <w:p w:rsidR="009B5847" w:rsidRPr="00C3470F" w:rsidRDefault="00F867E0" w:rsidP="000053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Տարածքային կառավարման և ենթակառուցվածքների նախարարություն,</w:t>
      </w:r>
      <w:r w:rsidR="00005308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B5847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Երևանի քաղաքապետարան</w:t>
      </w:r>
      <w:r w:rsidR="008F670C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B5847" w:rsidRPr="00C3470F" w:rsidRDefault="009B5847" w:rsidP="000053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3470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Ակնկալվող արդյունքը</w:t>
      </w:r>
      <w:r w:rsidRPr="00C3470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</w:p>
    <w:p w:rsidR="00F867E0" w:rsidRPr="00C3470F" w:rsidRDefault="00F867E0" w:rsidP="000053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Ներկայացված օրենսդրական փոփոխությունների կիրառման դեպքում ակնկալվում է, որ </w:t>
      </w:r>
      <w:r w:rsidR="001A6B08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կբարելավվի համայնքի բյուջեի եկամտայի մասի պլանավորման և կատարման մակարդակը,</w:t>
      </w:r>
      <w:r w:rsidR="00423458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</w:t>
      </w:r>
      <w:r w:rsidR="001A6B08"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կբարձրանա</w:t>
      </w:r>
      <w:r w:rsidR="001A6B08"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 xml:space="preserve"> նպատակային օգտագործման արդյունավետությունը</w:t>
      </w:r>
      <w:r w:rsidRPr="00C34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B5847" w:rsidRPr="00C3470F" w:rsidRDefault="009B5847" w:rsidP="000053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470F">
        <w:rPr>
          <w:rFonts w:ascii="GHEA Grapalat" w:hAnsi="GHEA Grapalat"/>
          <w:b/>
          <w:sz w:val="24"/>
          <w:szCs w:val="24"/>
          <w:lang w:val="hy-AM"/>
        </w:rPr>
        <w:t xml:space="preserve">Լրացուցիչ ֆինանսական միջոցների անհրաժեշտությունը, պետական </w:t>
      </w:r>
      <w:r w:rsidR="00423458" w:rsidRPr="00C3470F">
        <w:rPr>
          <w:rFonts w:ascii="GHEA Grapalat" w:hAnsi="GHEA Grapalat"/>
          <w:b/>
          <w:sz w:val="24"/>
          <w:szCs w:val="24"/>
          <w:lang w:val="hy-AM"/>
        </w:rPr>
        <w:t>և տեղական ինքնակառավարման մարմինների բյուջեներում</w:t>
      </w:r>
      <w:r w:rsidR="00423458" w:rsidRPr="00C3470F">
        <w:rPr>
          <w:rFonts w:ascii="GHEA Grapalat" w:hAnsi="GHEA Grapalat"/>
          <w:b/>
          <w:sz w:val="24"/>
          <w:szCs w:val="24"/>
          <w:lang w:val="hy-AM"/>
        </w:rPr>
        <w:t xml:space="preserve"> եկամուտների</w:t>
      </w:r>
      <w:r w:rsidRPr="00C3470F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423458" w:rsidRPr="00C3470F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C3470F">
        <w:rPr>
          <w:rFonts w:ascii="GHEA Grapalat" w:hAnsi="GHEA Grapalat"/>
          <w:b/>
          <w:sz w:val="24"/>
          <w:szCs w:val="24"/>
          <w:lang w:val="hy-AM"/>
        </w:rPr>
        <w:t xml:space="preserve"> սպասվելիք փոփոխությունները</w:t>
      </w:r>
      <w:r w:rsidRPr="00C3470F">
        <w:rPr>
          <w:rFonts w:ascii="GHEA Grapalat" w:hAnsi="GHEA Grapalat"/>
          <w:sz w:val="24"/>
          <w:szCs w:val="24"/>
          <w:lang w:val="hy-AM"/>
        </w:rPr>
        <w:t>.</w:t>
      </w:r>
    </w:p>
    <w:p w:rsidR="009B5847" w:rsidRPr="00C3470F" w:rsidRDefault="009B5847" w:rsidP="00005308">
      <w:pPr>
        <w:tabs>
          <w:tab w:val="left" w:pos="91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470F"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լրացուցիչ ֆինանսական միջոցների անհրաժեշտություն չի առաջանում, </w:t>
      </w:r>
      <w:r w:rsidR="00423458" w:rsidRPr="00C3470F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մարմինների բյուջեներում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 ծախսերի և եկամուտների էական ավելացում և նվազեցում չի նախատեսվում:</w:t>
      </w:r>
    </w:p>
    <w:p w:rsidR="009B5847" w:rsidRPr="00C3470F" w:rsidRDefault="009B5847" w:rsidP="00005308">
      <w:pPr>
        <w:tabs>
          <w:tab w:val="left" w:pos="91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470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Նախագծի</w:t>
      </w:r>
      <w:r w:rsidRPr="00C3470F">
        <w:rPr>
          <w:rFonts w:ascii="GHEA Grapalat" w:hAnsi="GHEA Grapalat"/>
          <w:b/>
          <w:sz w:val="24"/>
          <w:szCs w:val="24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մասին.</w:t>
      </w:r>
    </w:p>
    <w:p w:rsidR="009B5847" w:rsidRPr="00C3470F" w:rsidRDefault="009B5847" w:rsidP="00005308">
      <w:pPr>
        <w:tabs>
          <w:tab w:val="left" w:pos="91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470F">
        <w:rPr>
          <w:rFonts w:ascii="GHEA Grapalat" w:hAnsi="GHEA Grapalat"/>
          <w:sz w:val="24"/>
          <w:szCs w:val="24"/>
          <w:lang w:val="hy-AM"/>
        </w:rPr>
        <w:t>Նախագծի ընդունումն այլ իրավական ակտերում փոփոխություններ կատարելու անհրաժեշտություն չի առաջացնում:.</w:t>
      </w:r>
    </w:p>
    <w:p w:rsidR="009B5847" w:rsidRPr="00C3470F" w:rsidRDefault="009B5847" w:rsidP="00005308">
      <w:pPr>
        <w:tabs>
          <w:tab w:val="left" w:pos="91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470F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  <w:r w:rsidRPr="00C3470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77599" w:rsidRPr="00C3470F" w:rsidRDefault="00877599" w:rsidP="00005308">
      <w:pPr>
        <w:spacing w:after="0" w:line="360" w:lineRule="auto"/>
        <w:ind w:firstLine="720"/>
        <w:jc w:val="both"/>
        <w:rPr>
          <w:rFonts w:ascii="GHEA Grapalat" w:hAnsi="GHEA Grapalat" w:cs="Arial"/>
          <w:color w:val="1C1E21"/>
          <w:sz w:val="24"/>
          <w:szCs w:val="24"/>
          <w:lang w:val="hy-AM"/>
        </w:rPr>
      </w:pPr>
      <w:r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 xml:space="preserve">Նախագիծը բխում է «Հայաստանի վերափոխման ռազմավարություն 2050», «Կառավարության 2021-2026թթ. ծրագիր» /կետ 6.10, 4-րդ ենթակետ/  ռազմավարական փաստաթղթերի դրույթներից:  </w:t>
      </w:r>
    </w:p>
    <w:p w:rsidR="009B5847" w:rsidRPr="00C3470F" w:rsidRDefault="00877599" w:rsidP="000053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 xml:space="preserve">Մասնավորապես, </w:t>
      </w:r>
      <w:r w:rsidR="001A6B08"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>փոփոխություններ կատարելով</w:t>
      </w:r>
      <w:r w:rsidR="000119FA"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 xml:space="preserve"> օրենսդրական դաշտում՝ կբարելավվի </w:t>
      </w:r>
      <w:r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 xml:space="preserve">հանրային միջոցների </w:t>
      </w:r>
      <w:r w:rsidR="000119FA"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 xml:space="preserve">հավաքագրման և նպատակային </w:t>
      </w:r>
      <w:r w:rsidRPr="00C3470F">
        <w:rPr>
          <w:rFonts w:ascii="GHEA Grapalat" w:hAnsi="GHEA Grapalat" w:cs="Arial"/>
          <w:color w:val="1C1E21"/>
          <w:sz w:val="24"/>
          <w:szCs w:val="24"/>
          <w:lang w:val="hy-AM"/>
        </w:rPr>
        <w:t>օգտագործման արդյունավետությունը։</w:t>
      </w:r>
    </w:p>
    <w:p w:rsidR="00672013" w:rsidRPr="00C3470F" w:rsidRDefault="00672013" w:rsidP="00005308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672013" w:rsidRPr="00C3470F" w:rsidSect="003E31D3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1F8B"/>
    <w:multiLevelType w:val="multilevel"/>
    <w:tmpl w:val="A32C4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F6740"/>
    <w:multiLevelType w:val="hybridMultilevel"/>
    <w:tmpl w:val="FFA27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743B"/>
    <w:multiLevelType w:val="multilevel"/>
    <w:tmpl w:val="A266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C71C4"/>
    <w:multiLevelType w:val="hybridMultilevel"/>
    <w:tmpl w:val="F510F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3D7FC1"/>
    <w:multiLevelType w:val="multilevel"/>
    <w:tmpl w:val="BE429D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56D45"/>
    <w:multiLevelType w:val="multilevel"/>
    <w:tmpl w:val="6D70C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F2BA9"/>
    <w:multiLevelType w:val="hybridMultilevel"/>
    <w:tmpl w:val="49CA44EA"/>
    <w:lvl w:ilvl="0" w:tplc="3CDC518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3424BB96">
      <w:start w:val="1"/>
      <w:numFmt w:val="decimal"/>
      <w:lvlText w:val="%2."/>
      <w:lvlJc w:val="left"/>
      <w:pPr>
        <w:ind w:left="1728" w:hanging="648"/>
      </w:pPr>
      <w:rPr>
        <w:rFonts w:ascii="GHEA Grapalat" w:hAnsi="GHEA Grapalat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67C78"/>
    <w:multiLevelType w:val="multilevel"/>
    <w:tmpl w:val="BBAC6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7F"/>
    <w:rsid w:val="00005308"/>
    <w:rsid w:val="000119FA"/>
    <w:rsid w:val="00012F8F"/>
    <w:rsid w:val="00042E77"/>
    <w:rsid w:val="000C0306"/>
    <w:rsid w:val="001A6B08"/>
    <w:rsid w:val="00253236"/>
    <w:rsid w:val="002C3AB4"/>
    <w:rsid w:val="00334648"/>
    <w:rsid w:val="0034143C"/>
    <w:rsid w:val="003E31D3"/>
    <w:rsid w:val="00412D98"/>
    <w:rsid w:val="00423458"/>
    <w:rsid w:val="00463933"/>
    <w:rsid w:val="004C5184"/>
    <w:rsid w:val="005B14C0"/>
    <w:rsid w:val="006334AF"/>
    <w:rsid w:val="00672013"/>
    <w:rsid w:val="006D3731"/>
    <w:rsid w:val="007D6024"/>
    <w:rsid w:val="007E738D"/>
    <w:rsid w:val="00877599"/>
    <w:rsid w:val="008F670C"/>
    <w:rsid w:val="009B5847"/>
    <w:rsid w:val="00AE7421"/>
    <w:rsid w:val="00BC5FE3"/>
    <w:rsid w:val="00C140EE"/>
    <w:rsid w:val="00C3470F"/>
    <w:rsid w:val="00D50F6D"/>
    <w:rsid w:val="00D56C7F"/>
    <w:rsid w:val="00D60694"/>
    <w:rsid w:val="00F867E0"/>
    <w:rsid w:val="00FF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FE838-CF78-4F4F-B9FF-10695346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7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14C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B584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B5847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87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77599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Hyperlink">
    <w:name w:val="Hyperlink"/>
    <w:basedOn w:val="DefaultParagraphFont"/>
    <w:uiPriority w:val="99"/>
    <w:semiHidden/>
    <w:unhideWhenUsed/>
    <w:rsid w:val="00BC5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tek.am/views/act.aspx?aid=150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Harutyunyan</dc:creator>
  <cp:keywords>https://mul2-mta.gov.am/tasks/1138539/oneclick/himnavorum.docx?token=5d5b1a69f97896b7663db74c1a5b9cb9</cp:keywords>
  <dc:description/>
  <cp:lastModifiedBy>irav2 || Armine Sargsyan</cp:lastModifiedBy>
  <cp:revision>6</cp:revision>
  <cp:lastPrinted>2022-06-29T07:12:00Z</cp:lastPrinted>
  <dcterms:created xsi:type="dcterms:W3CDTF">2022-07-12T11:44:00Z</dcterms:created>
  <dcterms:modified xsi:type="dcterms:W3CDTF">2022-07-12T12:08:00Z</dcterms:modified>
</cp:coreProperties>
</file>