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C3" w:rsidRPr="000B79CA" w:rsidRDefault="008526C3" w:rsidP="008526C3">
      <w:pPr>
        <w:spacing w:after="0" w:line="360" w:lineRule="auto"/>
        <w:ind w:firstLine="567"/>
        <w:jc w:val="center"/>
        <w:rPr>
          <w:rFonts w:ascii="GHEA Grapalat" w:hAnsi="GHEA Grapalat" w:cs="Sylfaen"/>
          <w:b/>
          <w:sz w:val="24"/>
          <w:szCs w:val="24"/>
          <w:lang w:val="hy-AM"/>
        </w:rPr>
      </w:pPr>
      <w:r w:rsidRPr="000B79CA">
        <w:rPr>
          <w:rFonts w:ascii="GHEA Grapalat" w:hAnsi="GHEA Grapalat" w:cs="Sylfaen"/>
          <w:b/>
          <w:sz w:val="24"/>
          <w:szCs w:val="24"/>
          <w:lang w:val="hy-AM"/>
        </w:rPr>
        <w:t>Հ</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Ի Մ</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Ն</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Ա</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Վ</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Ո</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Ր</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ՈՒ</w:t>
      </w:r>
      <w:r w:rsidRPr="000B79CA">
        <w:rPr>
          <w:rFonts w:ascii="GHEA Grapalat" w:hAnsi="GHEA Grapalat"/>
          <w:b/>
          <w:sz w:val="24"/>
          <w:szCs w:val="24"/>
          <w:lang w:val="hy-AM"/>
        </w:rPr>
        <w:t xml:space="preserve"> </w:t>
      </w:r>
      <w:r w:rsidRPr="000B79CA">
        <w:rPr>
          <w:rFonts w:ascii="GHEA Grapalat" w:hAnsi="GHEA Grapalat" w:cs="Sylfaen"/>
          <w:b/>
          <w:sz w:val="24"/>
          <w:szCs w:val="24"/>
          <w:lang w:val="hy-AM"/>
        </w:rPr>
        <w:t>Մ</w:t>
      </w:r>
    </w:p>
    <w:p w:rsidR="008526C3" w:rsidRPr="000B79CA" w:rsidRDefault="008526C3" w:rsidP="008526C3">
      <w:pPr>
        <w:pStyle w:val="NormalWeb"/>
        <w:shd w:val="clear" w:color="auto" w:fill="FFFFFF"/>
        <w:spacing w:before="0" w:beforeAutospacing="0" w:after="0" w:afterAutospacing="0" w:line="360" w:lineRule="auto"/>
        <w:ind w:firstLine="567"/>
        <w:jc w:val="center"/>
        <w:rPr>
          <w:rFonts w:ascii="GHEA Grapalat" w:hAnsi="GHEA Grapalat"/>
          <w:color w:val="000000"/>
          <w:lang w:val="hy-AM"/>
        </w:rPr>
      </w:pPr>
      <w:r w:rsidRPr="000B79CA">
        <w:rPr>
          <w:rStyle w:val="Strong"/>
          <w:rFonts w:ascii="GHEA Grapalat" w:hAnsi="GHEA Grapalat"/>
          <w:color w:val="000000"/>
          <w:lang w:val="hy-AM"/>
        </w:rPr>
        <w:t xml:space="preserve">ՀԱՅԱՍՏԱՆԻ ՀԱՆՐԱՊԵՏՈՒԹՅԱՆ ԿԱՌԱՎԱՐՈՒԹՅԱՆ 2001 ԹՎԱԿԱՆԻ ՀՈԿՏԵՄԲԵՐԻ 19-Ի </w:t>
      </w:r>
      <w:r w:rsidRPr="000B79CA">
        <w:rPr>
          <w:rFonts w:ascii="GHEA Grapalat" w:hAnsi="GHEA Grapalat"/>
          <w:b/>
          <w:color w:val="000000"/>
          <w:lang w:val="hy-AM"/>
        </w:rPr>
        <w:t>N</w:t>
      </w:r>
      <w:r w:rsidRPr="000B79CA">
        <w:rPr>
          <w:rFonts w:ascii="GHEA Grapalat" w:hAnsi="GHEA Grapalat"/>
          <w:color w:val="000000"/>
          <w:lang w:val="hy-AM"/>
        </w:rPr>
        <w:t xml:space="preserve"> </w:t>
      </w:r>
      <w:r w:rsidRPr="000B79CA">
        <w:rPr>
          <w:rFonts w:ascii="GHEA Grapalat" w:hAnsi="GHEA Grapalat"/>
          <w:b/>
          <w:color w:val="000000"/>
          <w:lang w:val="hy-AM"/>
        </w:rPr>
        <w:t>1015</w:t>
      </w:r>
      <w:r w:rsidRPr="000B79CA">
        <w:rPr>
          <w:rFonts w:ascii="GHEA Grapalat" w:hAnsi="GHEA Grapalat"/>
          <w:color w:val="000000"/>
          <w:lang w:val="hy-AM"/>
        </w:rPr>
        <w:t xml:space="preserve"> </w:t>
      </w:r>
      <w:r w:rsidRPr="000B79CA">
        <w:rPr>
          <w:rStyle w:val="Strong"/>
          <w:rFonts w:ascii="GHEA Grapalat" w:hAnsi="GHEA Grapalat"/>
          <w:color w:val="000000"/>
          <w:lang w:val="hy-AM"/>
        </w:rPr>
        <w:t>ՈՐՈՇՈՒՄԸ ՈՒԺԸ ԿՈՐՑՐԱԾ ՃԱՆԱՉԵԼՈՒ ՄԱՍԻՆ</w:t>
      </w:r>
    </w:p>
    <w:p w:rsidR="008526C3" w:rsidRPr="000B79CA" w:rsidRDefault="008526C3" w:rsidP="008526C3">
      <w:pPr>
        <w:spacing w:after="0" w:line="360" w:lineRule="auto"/>
        <w:ind w:firstLine="567"/>
        <w:jc w:val="center"/>
        <w:rPr>
          <w:rFonts w:ascii="GHEA Grapalat" w:hAnsi="GHEA Grapalat"/>
          <w:b/>
          <w:color w:val="000000"/>
          <w:sz w:val="24"/>
          <w:szCs w:val="24"/>
          <w:shd w:val="clear" w:color="auto" w:fill="FFFFFF"/>
          <w:lang w:val="hy-AM"/>
        </w:rPr>
      </w:pPr>
      <w:r w:rsidRPr="000B79CA">
        <w:rPr>
          <w:rFonts w:ascii="GHEA Grapalat" w:hAnsi="GHEA Grapalat" w:cs="Sylfaen"/>
          <w:b/>
          <w:noProof/>
          <w:sz w:val="24"/>
          <w:szCs w:val="24"/>
          <w:lang w:val="hy-AM"/>
        </w:rPr>
        <w:t>ՀԱՅԱՍՏԱՆԻ</w:t>
      </w:r>
      <w:r w:rsidRPr="000B79CA">
        <w:rPr>
          <w:rFonts w:ascii="GHEA Grapalat" w:hAnsi="GHEA Grapalat"/>
          <w:b/>
          <w:noProof/>
          <w:sz w:val="24"/>
          <w:szCs w:val="24"/>
          <w:lang w:val="hy-AM"/>
        </w:rPr>
        <w:t xml:space="preserve"> </w:t>
      </w:r>
      <w:r w:rsidRPr="000B79CA">
        <w:rPr>
          <w:rFonts w:ascii="GHEA Grapalat" w:hAnsi="GHEA Grapalat" w:cs="Sylfaen"/>
          <w:b/>
          <w:noProof/>
          <w:sz w:val="24"/>
          <w:szCs w:val="24"/>
          <w:lang w:val="hy-AM"/>
        </w:rPr>
        <w:t>ՀԱՆՐԱՊԵՏՈՒԹՅԱՆ ԿԱՌԱՎԱՐՈՒԹՅԱՆ ՈՐՈՇՄԱՆ</w:t>
      </w:r>
      <w:r w:rsidRPr="000B79CA">
        <w:rPr>
          <w:rFonts w:ascii="GHEA Grapalat" w:hAnsi="GHEA Grapalat" w:cs="Sylfaen"/>
          <w:b/>
          <w:sz w:val="24"/>
          <w:szCs w:val="24"/>
          <w:lang w:val="hy-AM"/>
        </w:rPr>
        <w:t xml:space="preserve"> ԸՆԴՈՒՆՄԱՆ</w:t>
      </w:r>
    </w:p>
    <w:p w:rsidR="008526C3" w:rsidRPr="000B79CA" w:rsidRDefault="008526C3" w:rsidP="008526C3">
      <w:pPr>
        <w:spacing w:after="0" w:line="360" w:lineRule="auto"/>
        <w:ind w:firstLine="567"/>
        <w:jc w:val="center"/>
        <w:rPr>
          <w:rFonts w:ascii="GHEA Grapalat" w:hAnsi="GHEA Grapalat"/>
          <w:b/>
          <w:color w:val="000000"/>
          <w:sz w:val="24"/>
          <w:szCs w:val="24"/>
          <w:shd w:val="clear" w:color="auto" w:fill="FFFFFF"/>
          <w:lang w:val="hy-AM"/>
        </w:rPr>
      </w:pPr>
    </w:p>
    <w:p w:rsidR="008526C3" w:rsidRPr="000B79CA" w:rsidRDefault="008526C3" w:rsidP="008526C3">
      <w:pPr>
        <w:autoSpaceDE w:val="0"/>
        <w:autoSpaceDN w:val="0"/>
        <w:adjustRightInd w:val="0"/>
        <w:spacing w:after="0" w:line="360" w:lineRule="auto"/>
        <w:ind w:firstLine="567"/>
        <w:jc w:val="both"/>
        <w:rPr>
          <w:rFonts w:ascii="GHEA Grapalat" w:hAnsi="GHEA Grapalat"/>
          <w:b/>
          <w:sz w:val="24"/>
          <w:szCs w:val="24"/>
          <w:lang w:val="hy-AM"/>
        </w:rPr>
      </w:pPr>
      <w:r w:rsidRPr="000B79CA">
        <w:rPr>
          <w:rFonts w:ascii="GHEA Grapalat" w:hAnsi="GHEA Grapalat"/>
          <w:b/>
          <w:sz w:val="24"/>
          <w:szCs w:val="24"/>
          <w:lang w:val="hy-AM"/>
        </w:rPr>
        <w:t xml:space="preserve">1. </w:t>
      </w:r>
      <w:r w:rsidRPr="000B79CA">
        <w:rPr>
          <w:rFonts w:ascii="GHEA Grapalat" w:hAnsi="GHEA Grapalat" w:cs="Sylfaen"/>
          <w:b/>
          <w:sz w:val="24"/>
          <w:szCs w:val="24"/>
          <w:lang w:val="hy-AM"/>
        </w:rPr>
        <w:t>Ընթացիկ իրավիճակը և ի</w:t>
      </w:r>
      <w:r w:rsidRPr="000B79CA">
        <w:rPr>
          <w:rFonts w:ascii="GHEA Grapalat" w:hAnsi="GHEA Grapalat"/>
          <w:b/>
          <w:sz w:val="24"/>
          <w:szCs w:val="24"/>
          <w:lang w:val="hy-AM"/>
        </w:rPr>
        <w:t>րավական ակտի ընդունման անհրաժեշտությունը</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color w:val="000000"/>
          <w:sz w:val="24"/>
          <w:szCs w:val="24"/>
          <w:lang w:val="hy-AM"/>
        </w:rPr>
        <w:t>Հայաստանի Հանրապետության կառավարության 2001 թվականի հոկտեմբերի 19-ի «</w:t>
      </w:r>
      <w:r w:rsidRPr="000B79CA">
        <w:rPr>
          <w:rFonts w:ascii="GHEA Grapalat" w:hAnsi="GHEA Grapalat"/>
          <w:bCs/>
          <w:color w:val="000000"/>
          <w:sz w:val="24"/>
          <w:szCs w:val="24"/>
          <w:lang w:val="hy-AM"/>
        </w:rPr>
        <w:t>Հայաստանի Հանրապետության արդարադատության նախարարության համակարգում քրեակատարողական ծառայություն ստեղծելու մասին</w:t>
      </w:r>
      <w:r w:rsidRPr="000B79CA">
        <w:rPr>
          <w:rFonts w:ascii="GHEA Grapalat" w:hAnsi="GHEA Grapalat"/>
          <w:color w:val="000000"/>
          <w:sz w:val="24"/>
          <w:szCs w:val="24"/>
          <w:lang w:val="hy-AM"/>
        </w:rPr>
        <w:t xml:space="preserve">» N 1015 որոշման մեջ (այսուհետ՝ Որոշում) նախաբանում բացակայում են լիազորող նորմերը: Բացի այդ, Որոշմամբ կարգավորվում են այնպիսի իրավահարաբերություններ, որոնք ներկայումս ժամանակավրեպ են: </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 xml:space="preserve">Հաշվի առնելով վերոգրյալը՝ մշակվել է «Հայաստանի Հանրապետության կառավարության 2001 թվականի հոկտեմբերի 19-ի N 1015 որոշումն ուժը կորցրած ճանաչելու մասին» Հայաստանի Հանրապետության կառավարության որոշման նախագիծը (այսուհետ՝ Նախագիծ), որով առաջարկվում է ուժը կորցրած ճանաչել ներկայումս այլ ակտերով արդեն իսկ կարգավորված կամ իրացված դրույթները: </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 xml:space="preserve">Այսպես՝ Որոշման 1-ին կետով նախատեսված հաստիքային միավորների առավելագույն թվաքանակը ներկայումս ամրագրված է ՀՀ վարչապետի՝ 2018 թվականի հունիսի 11-ի «Պետական իշխանության մարմիններում հաստիքների առավելագույն թիվը սահմանելու մասին» N 706-Ա որոշմամբ: </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Որոշման 2-րդ կետով նախատեսված դրույթը կարգավորված է  «Քրեակատարողական ծառայության մասին» օրենքի 6-րդ հոդվածի 1-ին մասով, որի համաձայն՝ քրեակատարողական ծառայության կենտրոնական մարմինն ապահովում է  «Քրեակատարողական ծառայության մասին» օրենքի 4-րդ հոդվածով սահմանված խնդիրների իրականացումը իր կառուցվածքային ստորաբաժանումների և քրեակատարողական հիմնարկների միջոցով: «Քրեակատարողական ծառայության մասին» օրենքի 5-րդ մասի համաձայն՝ քրեակատարողական ծառայությունն իրականացվում է`</w:t>
      </w:r>
    </w:p>
    <w:p w:rsidR="008526C3" w:rsidRPr="000B79CA" w:rsidRDefault="008526C3" w:rsidP="008526C3">
      <w:pPr>
        <w:pStyle w:val="ListParagraph"/>
        <w:numPr>
          <w:ilvl w:val="0"/>
          <w:numId w:val="1"/>
        </w:numPr>
        <w:tabs>
          <w:tab w:val="left" w:pos="851"/>
        </w:tabs>
        <w:spacing w:after="0" w:line="360" w:lineRule="auto"/>
        <w:ind w:left="0" w:firstLine="567"/>
        <w:jc w:val="both"/>
        <w:rPr>
          <w:rFonts w:ascii="GHEA Grapalat" w:hAnsi="GHEA Grapalat"/>
          <w:sz w:val="24"/>
          <w:szCs w:val="24"/>
          <w:lang w:val="hy-AM"/>
        </w:rPr>
      </w:pPr>
      <w:r w:rsidRPr="000B79CA">
        <w:rPr>
          <w:rFonts w:ascii="GHEA Grapalat" w:hAnsi="GHEA Grapalat" w:cs="Sylfaen"/>
          <w:sz w:val="24"/>
          <w:szCs w:val="24"/>
          <w:lang w:val="hy-AM"/>
        </w:rPr>
        <w:t>համապատասխան</w:t>
      </w:r>
      <w:r w:rsidRPr="000B79CA">
        <w:rPr>
          <w:rFonts w:ascii="GHEA Grapalat" w:hAnsi="GHEA Grapalat"/>
          <w:sz w:val="24"/>
          <w:szCs w:val="24"/>
          <w:lang w:val="hy-AM"/>
        </w:rPr>
        <w:t xml:space="preserve"> նախարարության քրեակատարողական ծառայության կենտրոնական մարմնի (այսուհետ` քրեակատարողական ծառայության կենտրոնական մարմին) անվտանգության ապահովման, պահպանության ապահովման, օպերատիվ, </w:t>
      </w:r>
      <w:r w:rsidRPr="000B79CA">
        <w:rPr>
          <w:rFonts w:ascii="GHEA Grapalat" w:hAnsi="GHEA Grapalat"/>
          <w:sz w:val="24"/>
          <w:szCs w:val="24"/>
          <w:lang w:val="hy-AM"/>
        </w:rPr>
        <w:lastRenderedPageBreak/>
        <w:t>հատուկ նշանակության, ուղեկցումների, ներքին անվտանգության, հերթապահության ստորաբաժանումներում և շտաբում.</w:t>
      </w:r>
    </w:p>
    <w:p w:rsidR="008526C3" w:rsidRPr="000B79CA" w:rsidRDefault="008526C3" w:rsidP="008526C3">
      <w:pPr>
        <w:pStyle w:val="ListParagraph"/>
        <w:numPr>
          <w:ilvl w:val="0"/>
          <w:numId w:val="1"/>
        </w:numPr>
        <w:tabs>
          <w:tab w:val="left" w:pos="851"/>
        </w:tabs>
        <w:spacing w:after="0" w:line="360" w:lineRule="auto"/>
        <w:jc w:val="both"/>
        <w:rPr>
          <w:rFonts w:ascii="GHEA Grapalat" w:hAnsi="GHEA Grapalat"/>
          <w:sz w:val="24"/>
          <w:szCs w:val="24"/>
          <w:lang w:val="hy-AM"/>
        </w:rPr>
      </w:pPr>
      <w:r w:rsidRPr="000B79CA">
        <w:rPr>
          <w:rFonts w:ascii="GHEA Grapalat" w:hAnsi="GHEA Grapalat"/>
          <w:sz w:val="24"/>
          <w:szCs w:val="24"/>
          <w:lang w:val="hy-AM"/>
        </w:rPr>
        <w:t>համապատասխան նախարարության քրեակատարողական հիմնարկներում:</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cs="Sylfaen"/>
          <w:sz w:val="24"/>
          <w:szCs w:val="24"/>
          <w:lang w:val="hy-AM"/>
        </w:rPr>
        <w:t>Ո</w:t>
      </w:r>
      <w:r w:rsidRPr="000B79CA">
        <w:rPr>
          <w:rFonts w:ascii="GHEA Grapalat" w:hAnsi="GHEA Grapalat"/>
          <w:sz w:val="24"/>
          <w:szCs w:val="24"/>
          <w:lang w:val="hy-AM"/>
        </w:rPr>
        <w:t xml:space="preserve">րոշման 3-րդ կետի առնչությամբ հարկ է նշել, որ երկու քրեակատարողական հիմնարկների վերակազմակերպման գործընթացն ավարտված է՝ պայմանավորված </w:t>
      </w:r>
      <w:r w:rsidRPr="000B79CA">
        <w:rPr>
          <w:rFonts w:ascii="GHEA Grapalat" w:hAnsi="GHEA Grapalat"/>
          <w:color w:val="000000"/>
          <w:sz w:val="24"/>
          <w:szCs w:val="24"/>
          <w:lang w:val="hy-AM"/>
        </w:rPr>
        <w:t xml:space="preserve">ՀՀ կառավարության՝ 2021 թվականի հոկտեմբերի 28-ի N 1755-Ն որոշմամբ «Կոշ» և «Հրազդան» քրեակատարողական հիմնարկների գործունեության դադարեցմամբ: Միևնույն ժամանակ, </w:t>
      </w:r>
      <w:r w:rsidRPr="000B79CA">
        <w:rPr>
          <w:rFonts w:ascii="GHEA Grapalat" w:hAnsi="GHEA Grapalat"/>
          <w:sz w:val="24"/>
          <w:szCs w:val="24"/>
          <w:lang w:val="hy-AM"/>
        </w:rPr>
        <w:t>անցումային դրույթներում առաջարկվում է սահմանել դրույթ, որով իրենց գործունեությունը կշարունակեն ներկայումս գործող ՀՀ ԱՆ քրեակատարողական հիմնարկները:</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Որոշման 4-րդ կետով սահմանված՝ հաստիքացուցակի և</w:t>
      </w:r>
      <w:r w:rsidRPr="000B79CA" w:rsidDel="00391BE9">
        <w:rPr>
          <w:rFonts w:ascii="GHEA Grapalat" w:hAnsi="GHEA Grapalat"/>
          <w:sz w:val="24"/>
          <w:szCs w:val="24"/>
          <w:lang w:val="hy-AM"/>
        </w:rPr>
        <w:t xml:space="preserve"> </w:t>
      </w:r>
      <w:r w:rsidRPr="000B79CA">
        <w:rPr>
          <w:rFonts w:ascii="GHEA Grapalat" w:hAnsi="GHEA Grapalat"/>
          <w:sz w:val="24"/>
          <w:szCs w:val="24"/>
          <w:lang w:val="hy-AM"/>
        </w:rPr>
        <w:t>կանոնադրության հետ կապված հարցերը կարգավորված են համապատասխանաբար՝ «Քրեակատարողական ծառայության մասին» 25-րդ հոդվածի 2-րդ մասի 4-րդ կետով, համաձայն որի՝ համապատասխան նախարարը հաստատում է քրեակատարողական ծառայության կենտրոնական մարմնի և քրեակատարողական հիմնարկների կառուցվածքները և հաստիքացուցակները, և «Պետական կառավարման համակարգի մարմինների մասին» օրենքի 7-րդ հոդվածի 11-րդ մասով, որի համաձայն՝ նախարարությանը ենթակա մարմնի կանոնադրությունը հաստատում է համապատասխան նախարարը, եթե օրենքով այլ բան նախատեսված չէ:</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Որոշման 5-րդ և 6-րդ կետերն արդեն իսկ իրացված են, և այդ դրույթների ամրագրումը, որպես այդպիսին, ժամանակավրեպ է:</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 xml:space="preserve">Որոշման 7-րդ կետով սահմանված պահանջները ներկայումս կարգավորված են «Քրեակատարողական ծառայության մասին» օրենքի 47-րդ հոդվածի 1-ին մասով, որի համաձայն՝ քրեակատարողական ծառայողի օրինական պահանջները չկատարելու կամ պարտականությունների կատարմանը խոչընդոտելու` նույն օրենքով նախատեսված դեպքերում քրեակատարողական ծառայողն իրավունք ունի գործադրելու ֆիզիկական ուժ, հատուկ միջոցներ և զենք: </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 xml:space="preserve">Որոշման 8-րդ կետով նախատեսված բժշկական սպասարկման իրականացման հետ կապված հարաբերությունները կարգավորված են ՀՀ կառավարության 2003 թվականի հունվարի 30-ի «Ոստիկանության բժշկական հաստատության գործունեության և </w:t>
      </w:r>
      <w:r w:rsidRPr="000B79CA">
        <w:rPr>
          <w:rFonts w:ascii="GHEA Grapalat" w:hAnsi="GHEA Grapalat"/>
          <w:sz w:val="24"/>
          <w:szCs w:val="24"/>
          <w:lang w:val="hy-AM"/>
        </w:rPr>
        <w:lastRenderedPageBreak/>
        <w:t>ֆինանսավորման կարգը, ինչպես նաև այդ հաստատության բժշկական ծառայությունից օգտվող մարմինների (ծառայողների) ցանկը սահմանելու մասին» N 113-Ն որոշմամբ, որի հավելված 2-ի 3-րդ կետի համաձայն՝ ոստիկանության բժշկական հաստատության ծառայությունից օգտվում են նաև Հայաստանի Հանրապետության արդարադատության նախարարության քրեակատարողական ծառայության, Հայաստանի Հանրապետության կառավարությանն առընթեր ազգային անվտանգության ծառայության ծառայողներն ու կենսաթոշակառուները, նրանց ընտանիքների անդամները, ինչպես նաև դատախազները:</w:t>
      </w:r>
    </w:p>
    <w:p w:rsidR="008526C3" w:rsidRPr="000B79CA" w:rsidRDefault="008526C3" w:rsidP="008526C3">
      <w:pPr>
        <w:spacing w:after="0" w:line="360" w:lineRule="auto"/>
        <w:ind w:firstLine="567"/>
        <w:jc w:val="both"/>
        <w:rPr>
          <w:rFonts w:ascii="GHEA Grapalat" w:hAnsi="GHEA Grapalat"/>
          <w:sz w:val="24"/>
          <w:szCs w:val="24"/>
          <w:lang w:val="hy-AM"/>
        </w:rPr>
      </w:pPr>
      <w:r w:rsidRPr="000B79CA">
        <w:rPr>
          <w:rFonts w:ascii="GHEA Grapalat" w:hAnsi="GHEA Grapalat"/>
          <w:sz w:val="24"/>
          <w:szCs w:val="24"/>
          <w:lang w:val="hy-AM"/>
        </w:rPr>
        <w:t xml:space="preserve">Որոշման 9-րդ կետի պահպանելու նպատակահարմարությունը ևս բացակայում է, քանի որ «Նորմատիվ իրավական ակտերի մասին» օրենքի 36-րդ հոդվածի 4-րդ մասի համաձայն՝ նորմատիվ իրավական ակտի գործողության դադարեցման մասին նորմատիվ իրավական ակտ ընդունելու դեպքում գործողությունը դադարեցված նորմատիվ իրավական ակտով կամ դրա համաձայն գործողությունը դադարեցված նորմատիվ իրավական ակտերի գործողությունը չի վերականգնվում: «Պետական կառավարման համակարգի մարմինների մասին» օրենքի 7-րդ հոդվածի 1-ին մասի համաձայն՝ պետական կառավարման համակարգի մարմինն ստեղծվում, վերակազմակերպվում, և դրա գործունեությունը դադարեցվում է օրենքով: </w:t>
      </w:r>
    </w:p>
    <w:p w:rsidR="008526C3" w:rsidRDefault="008526C3" w:rsidP="008526C3">
      <w:pPr>
        <w:spacing w:after="0" w:line="360" w:lineRule="auto"/>
        <w:ind w:firstLine="567"/>
        <w:jc w:val="both"/>
        <w:rPr>
          <w:rFonts w:ascii="GHEA Grapalat" w:hAnsi="GHEA Grapalat"/>
          <w:sz w:val="24"/>
          <w:szCs w:val="24"/>
          <w:lang w:val="en-US"/>
        </w:rPr>
      </w:pPr>
      <w:r w:rsidRPr="000B79CA">
        <w:rPr>
          <w:rFonts w:ascii="GHEA Grapalat" w:hAnsi="GHEA Grapalat"/>
          <w:sz w:val="24"/>
          <w:szCs w:val="24"/>
          <w:lang w:val="hy-AM"/>
        </w:rPr>
        <w:t xml:space="preserve">Միևնույն ժամանակ, Որոշման շրջանակներում առաջարկվում է սահմանել անցումային դրույթ առ այն, որ </w:t>
      </w:r>
      <w:r w:rsidRPr="000B79CA">
        <w:rPr>
          <w:rFonts w:ascii="GHEA Grapalat" w:hAnsi="GHEA Grapalat"/>
          <w:color w:val="000000"/>
          <w:sz w:val="24"/>
          <w:szCs w:val="24"/>
          <w:lang w:val="hy-AM"/>
        </w:rPr>
        <w:t>քրեակատարողական ծառայության բնականոն գործունեությունն, ինչպես նաև քրեակատարողական ծառայության վարչական շենքերի սպասարկումն ապահովելու նպատակով, ըստ անհրաժեշտության, ընդգրկված մինչև 125 պայմանագրային աշխատողները իրենց գործունեությունը չեն դադարեցնում և շարունակում են</w:t>
      </w:r>
      <w:r w:rsidRPr="000B79CA">
        <w:rPr>
          <w:rFonts w:ascii="GHEA Grapalat" w:hAnsi="GHEA Grapalat"/>
          <w:sz w:val="24"/>
          <w:szCs w:val="24"/>
          <w:lang w:val="hy-AM"/>
        </w:rPr>
        <w:t>:</w:t>
      </w:r>
    </w:p>
    <w:p w:rsidR="008526C3" w:rsidRPr="00A07527" w:rsidRDefault="008526C3" w:rsidP="008526C3">
      <w:pPr>
        <w:spacing w:after="0" w:line="360" w:lineRule="auto"/>
        <w:ind w:firstLine="567"/>
        <w:jc w:val="both"/>
        <w:rPr>
          <w:rFonts w:ascii="GHEA Grapalat" w:hAnsi="GHEA Grapalat"/>
          <w:sz w:val="24"/>
          <w:szCs w:val="24"/>
          <w:lang w:val="en-US"/>
        </w:rPr>
      </w:pPr>
    </w:p>
    <w:p w:rsidR="008526C3" w:rsidRPr="000B79CA" w:rsidRDefault="008526C3" w:rsidP="008526C3">
      <w:pPr>
        <w:spacing w:after="0" w:line="360" w:lineRule="auto"/>
        <w:ind w:firstLine="567"/>
        <w:rPr>
          <w:rFonts w:ascii="GHEA Grapalat" w:hAnsi="GHEA Grapalat"/>
          <w:b/>
          <w:sz w:val="24"/>
          <w:szCs w:val="24"/>
          <w:lang w:val="hy-AM"/>
        </w:rPr>
      </w:pPr>
      <w:r w:rsidRPr="000B79CA">
        <w:rPr>
          <w:rFonts w:ascii="GHEA Grapalat" w:hAnsi="GHEA Grapalat" w:cs="Sylfaen"/>
          <w:b/>
          <w:bCs/>
          <w:sz w:val="24"/>
          <w:szCs w:val="24"/>
          <w:lang w:val="hy-AM"/>
        </w:rPr>
        <w:t>2. Ա</w:t>
      </w:r>
      <w:r w:rsidRPr="000B79CA">
        <w:rPr>
          <w:rFonts w:ascii="GHEA Grapalat" w:hAnsi="GHEA Grapalat" w:cs="Sylfaen"/>
          <w:b/>
          <w:sz w:val="24"/>
          <w:szCs w:val="24"/>
          <w:lang w:val="hy-AM"/>
        </w:rPr>
        <w:t xml:space="preserve">ռաջարկվող կարգավորման բնույթը </w:t>
      </w:r>
    </w:p>
    <w:p w:rsidR="008526C3" w:rsidRPr="000B79CA" w:rsidRDefault="008526C3" w:rsidP="008526C3">
      <w:pPr>
        <w:spacing w:after="0" w:line="360" w:lineRule="auto"/>
        <w:ind w:firstLine="567"/>
        <w:jc w:val="both"/>
        <w:rPr>
          <w:rFonts w:ascii="GHEA Grapalat" w:eastAsia="Times New Roman" w:hAnsi="GHEA Grapalat" w:cs="Times New Roman"/>
          <w:color w:val="000000"/>
          <w:sz w:val="24"/>
          <w:szCs w:val="24"/>
          <w:lang w:val="hy-AM"/>
        </w:rPr>
      </w:pPr>
      <w:r w:rsidRPr="000B79CA">
        <w:rPr>
          <w:rFonts w:ascii="GHEA Grapalat" w:eastAsia="Times New Roman" w:hAnsi="GHEA Grapalat" w:cs="Times New Roman"/>
          <w:color w:val="000000"/>
          <w:sz w:val="24"/>
          <w:szCs w:val="24"/>
          <w:lang w:val="hy-AM"/>
        </w:rPr>
        <w:t>Նախագծով</w:t>
      </w:r>
      <w:r w:rsidRPr="000B79CA">
        <w:rPr>
          <w:rFonts w:ascii="GHEA Grapalat" w:eastAsia="Times New Roman" w:hAnsi="GHEA Grapalat" w:cs="Times New Roman"/>
          <w:color w:val="FF0000"/>
          <w:sz w:val="24"/>
          <w:szCs w:val="24"/>
          <w:lang w:val="hy-AM"/>
        </w:rPr>
        <w:t xml:space="preserve"> </w:t>
      </w:r>
      <w:r w:rsidRPr="000B79CA">
        <w:rPr>
          <w:rFonts w:ascii="GHEA Grapalat" w:eastAsia="Times New Roman" w:hAnsi="GHEA Grapalat" w:cs="Times New Roman"/>
          <w:color w:val="000000"/>
          <w:sz w:val="24"/>
          <w:szCs w:val="24"/>
          <w:lang w:val="hy-AM"/>
        </w:rPr>
        <w:t xml:space="preserve">ուժը կորցրած ճանաչել որոշումը՝ հաշվի առնելով այն հանգամանքը, որ դրանում ամրագրված դրույթները կամ արդեն իսկ կարգավորված են կամ </w:t>
      </w:r>
      <w:r w:rsidRPr="000B79CA">
        <w:rPr>
          <w:rFonts w:ascii="GHEA Grapalat" w:eastAsia="Times New Roman" w:hAnsi="GHEA Grapalat" w:cs="Times New Roman"/>
          <w:sz w:val="24"/>
          <w:szCs w:val="24"/>
          <w:lang w:val="hy-AM"/>
        </w:rPr>
        <w:t>ժամանակավրեպ են</w:t>
      </w:r>
      <w:r w:rsidRPr="000B79CA">
        <w:rPr>
          <w:rFonts w:ascii="GHEA Grapalat" w:eastAsia="Times New Roman" w:hAnsi="GHEA Grapalat" w:cs="Times New Roman"/>
          <w:color w:val="000000"/>
          <w:sz w:val="24"/>
          <w:szCs w:val="24"/>
          <w:lang w:val="hy-AM"/>
        </w:rPr>
        <w:t xml:space="preserve">: </w:t>
      </w:r>
    </w:p>
    <w:p w:rsidR="008526C3" w:rsidRPr="000B79CA" w:rsidRDefault="008526C3" w:rsidP="008526C3">
      <w:pPr>
        <w:spacing w:line="360" w:lineRule="auto"/>
        <w:ind w:firstLine="567"/>
        <w:rPr>
          <w:rFonts w:ascii="GHEA Grapalat" w:hAnsi="GHEA Grapalat"/>
          <w:sz w:val="24"/>
          <w:szCs w:val="24"/>
          <w:lang w:val="hy-AM"/>
        </w:rPr>
      </w:pPr>
    </w:p>
    <w:p w:rsidR="008526C3" w:rsidRPr="000B79CA" w:rsidRDefault="008526C3" w:rsidP="008526C3">
      <w:pPr>
        <w:spacing w:after="0" w:line="360" w:lineRule="auto"/>
        <w:ind w:firstLine="567"/>
        <w:jc w:val="both"/>
        <w:rPr>
          <w:rFonts w:ascii="GHEA Grapalat" w:hAnsi="GHEA Grapalat"/>
          <w:b/>
          <w:sz w:val="24"/>
          <w:szCs w:val="24"/>
          <w:lang w:val="hy-AM"/>
        </w:rPr>
      </w:pPr>
      <w:r w:rsidRPr="000B79CA">
        <w:rPr>
          <w:rFonts w:ascii="GHEA Grapalat" w:hAnsi="GHEA Grapalat" w:cs="Sylfaen"/>
          <w:b/>
          <w:sz w:val="24"/>
          <w:szCs w:val="24"/>
          <w:lang w:val="hy-AM"/>
        </w:rPr>
        <w:t>3. Ակնկալվող արդյունքը</w:t>
      </w:r>
    </w:p>
    <w:p w:rsidR="008526C3" w:rsidRPr="000B79CA" w:rsidRDefault="008526C3" w:rsidP="008526C3">
      <w:pPr>
        <w:spacing w:line="360" w:lineRule="auto"/>
        <w:ind w:firstLine="567"/>
        <w:jc w:val="both"/>
        <w:rPr>
          <w:rFonts w:ascii="GHEA Grapalat" w:hAnsi="GHEA Grapalat"/>
          <w:sz w:val="24"/>
          <w:szCs w:val="24"/>
          <w:lang w:val="hy-AM"/>
        </w:rPr>
      </w:pPr>
      <w:r w:rsidRPr="000B79CA">
        <w:rPr>
          <w:rFonts w:ascii="GHEA Grapalat" w:eastAsia="Times New Roman" w:hAnsi="GHEA Grapalat" w:cs="Times New Roman"/>
          <w:color w:val="000000"/>
          <w:sz w:val="24"/>
          <w:szCs w:val="24"/>
          <w:lang w:val="hy-AM"/>
        </w:rPr>
        <w:t xml:space="preserve">Նախագծով ուժը կորցրած կճանաչվեն արդեն իսկ օրենսդրական մակարդակում կարգավորված կամ ժամանակավրեպ դրույթները: </w:t>
      </w:r>
    </w:p>
    <w:p w:rsidR="008526C3" w:rsidRPr="000B79CA" w:rsidRDefault="008526C3" w:rsidP="008526C3">
      <w:pPr>
        <w:pStyle w:val="NormalWeb"/>
        <w:shd w:val="clear" w:color="auto" w:fill="FFFFFF"/>
        <w:spacing w:before="0" w:beforeAutospacing="0" w:after="0" w:afterAutospacing="0" w:line="360" w:lineRule="auto"/>
        <w:ind w:firstLine="567"/>
        <w:jc w:val="both"/>
        <w:rPr>
          <w:rFonts w:ascii="GHEA Grapalat" w:hAnsi="GHEA Grapalat"/>
          <w:b/>
          <w:lang w:val="hy-AM"/>
        </w:rPr>
      </w:pPr>
      <w:r w:rsidRPr="000B79CA">
        <w:rPr>
          <w:rFonts w:ascii="GHEA Grapalat" w:hAnsi="GHEA Grapalat"/>
          <w:b/>
          <w:color w:val="000000"/>
          <w:lang w:val="hy-AM"/>
        </w:rPr>
        <w:lastRenderedPageBreak/>
        <w:t>4. «</w:t>
      </w:r>
      <w:r w:rsidRPr="000B79CA">
        <w:rPr>
          <w:rStyle w:val="Strong"/>
          <w:rFonts w:ascii="GHEA Grapalat" w:hAnsi="GHEA Grapalat"/>
          <w:color w:val="000000"/>
          <w:lang w:val="hy-AM"/>
        </w:rPr>
        <w:t xml:space="preserve">Հայաստանի Հանրապետության կառավարության 2001 թվականի հոկտեմբերի 19-ի </w:t>
      </w:r>
      <w:r w:rsidRPr="000B79CA">
        <w:rPr>
          <w:rFonts w:ascii="GHEA Grapalat" w:hAnsi="GHEA Grapalat"/>
          <w:b/>
          <w:color w:val="000000"/>
          <w:lang w:val="hy-AM"/>
        </w:rPr>
        <w:t>N</w:t>
      </w:r>
      <w:r w:rsidRPr="000B79CA">
        <w:rPr>
          <w:rFonts w:ascii="GHEA Grapalat" w:hAnsi="GHEA Grapalat"/>
          <w:color w:val="000000"/>
          <w:lang w:val="hy-AM"/>
        </w:rPr>
        <w:t xml:space="preserve"> </w:t>
      </w:r>
      <w:r w:rsidRPr="000B79CA">
        <w:rPr>
          <w:rFonts w:ascii="GHEA Grapalat" w:hAnsi="GHEA Grapalat"/>
          <w:b/>
          <w:color w:val="000000"/>
          <w:lang w:val="hy-AM"/>
        </w:rPr>
        <w:t>1015</w:t>
      </w:r>
      <w:r w:rsidRPr="000B79CA">
        <w:rPr>
          <w:rFonts w:ascii="GHEA Grapalat" w:hAnsi="GHEA Grapalat"/>
          <w:color w:val="000000"/>
          <w:lang w:val="hy-AM"/>
        </w:rPr>
        <w:t xml:space="preserve"> </w:t>
      </w:r>
      <w:r w:rsidRPr="000B79CA">
        <w:rPr>
          <w:rStyle w:val="Strong"/>
          <w:rFonts w:ascii="GHEA Grapalat" w:hAnsi="GHEA Grapalat"/>
          <w:color w:val="000000"/>
          <w:lang w:val="hy-AM"/>
        </w:rPr>
        <w:t xml:space="preserve">որոշումը ուժն կորցրած ճանաչելու մասին» </w:t>
      </w:r>
      <w:r w:rsidRPr="000B79CA">
        <w:rPr>
          <w:rFonts w:ascii="GHEA Grapalat" w:hAnsi="GHEA Grapalat" w:cs="Sylfaen"/>
          <w:b/>
          <w:noProof/>
          <w:lang w:val="hy-AM"/>
        </w:rPr>
        <w:t>Հայաստանի</w:t>
      </w:r>
      <w:r w:rsidRPr="000B79CA">
        <w:rPr>
          <w:rFonts w:ascii="GHEA Grapalat" w:hAnsi="GHEA Grapalat"/>
          <w:b/>
          <w:noProof/>
          <w:lang w:val="hy-AM"/>
        </w:rPr>
        <w:t xml:space="preserve"> </w:t>
      </w:r>
      <w:r w:rsidRPr="000B79CA">
        <w:rPr>
          <w:rFonts w:ascii="GHEA Grapalat" w:hAnsi="GHEA Grapalat" w:cs="Sylfaen"/>
          <w:b/>
          <w:noProof/>
          <w:lang w:val="hy-AM"/>
        </w:rPr>
        <w:t>Հանրապետության կառավարության որոշման</w:t>
      </w:r>
      <w:r w:rsidRPr="000B79CA">
        <w:rPr>
          <w:rFonts w:ascii="GHEA Grapalat" w:hAnsi="GHEA Grapalat" w:cs="Sylfaen"/>
          <w:b/>
          <w:lang w:val="hy-AM"/>
        </w:rPr>
        <w:t xml:space="preserve"> ընդունման</w:t>
      </w:r>
      <w:r w:rsidRPr="000B79CA">
        <w:rPr>
          <w:rFonts w:ascii="GHEA Grapalat" w:hAnsi="GHEA Grapalat"/>
          <w:b/>
          <w:color w:val="000000"/>
          <w:shd w:val="clear" w:color="auto" w:fill="FFFFFF"/>
          <w:lang w:val="hy-AM"/>
        </w:rPr>
        <w:t xml:space="preserve"> </w:t>
      </w:r>
      <w:r w:rsidRPr="000B79CA">
        <w:rPr>
          <w:rFonts w:ascii="GHEA Grapalat" w:hAnsi="GHEA Grapalat"/>
          <w:b/>
          <w:lang w:val="hy-AM"/>
        </w:rPr>
        <w:t xml:space="preserve">դեպքում պետական բյուջեի եկամուտների ավելացման կամ նվազեցման մասին </w:t>
      </w:r>
    </w:p>
    <w:p w:rsidR="008526C3" w:rsidRPr="000B79CA" w:rsidRDefault="008526C3" w:rsidP="008526C3">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B79CA">
        <w:rPr>
          <w:rStyle w:val="Strong"/>
          <w:rFonts w:ascii="GHEA Grapalat" w:hAnsi="GHEA Grapalat"/>
          <w:b w:val="0"/>
          <w:color w:val="000000"/>
          <w:lang w:val="hy-AM"/>
        </w:rPr>
        <w:t xml:space="preserve">«Հայաստանի Հանրապետության կառավարության 2001 թվականի հոկտեմբերի 19-ի </w:t>
      </w:r>
      <w:r w:rsidRPr="000B79CA">
        <w:rPr>
          <w:rFonts w:ascii="GHEA Grapalat" w:hAnsi="GHEA Grapalat"/>
          <w:color w:val="000000"/>
          <w:lang w:val="hy-AM"/>
        </w:rPr>
        <w:t>N 1015</w:t>
      </w:r>
      <w:r w:rsidRPr="000B79CA">
        <w:rPr>
          <w:rFonts w:ascii="GHEA Grapalat" w:hAnsi="GHEA Grapalat"/>
          <w:b/>
          <w:color w:val="000000"/>
          <w:lang w:val="hy-AM"/>
        </w:rPr>
        <w:t xml:space="preserve"> </w:t>
      </w:r>
      <w:r w:rsidRPr="000B79CA">
        <w:rPr>
          <w:rStyle w:val="Strong"/>
          <w:rFonts w:ascii="GHEA Grapalat" w:hAnsi="GHEA Grapalat"/>
          <w:b w:val="0"/>
          <w:color w:val="000000"/>
          <w:lang w:val="hy-AM"/>
        </w:rPr>
        <w:t>որոշումը ուժն կորցրած ճանաչելու մասին»</w:t>
      </w:r>
      <w:r w:rsidRPr="000B79CA">
        <w:rPr>
          <w:rStyle w:val="Strong"/>
          <w:rFonts w:ascii="GHEA Grapalat" w:hAnsi="GHEA Grapalat"/>
          <w:color w:val="000000"/>
          <w:lang w:val="hy-AM"/>
        </w:rPr>
        <w:t xml:space="preserve"> </w:t>
      </w:r>
      <w:r w:rsidRPr="000B79CA">
        <w:rPr>
          <w:rFonts w:ascii="GHEA Grapalat" w:hAnsi="GHEA Grapalat"/>
          <w:lang w:val="hy-AM"/>
        </w:rPr>
        <w:t>Հայաստանի Հանրապետության կառավարության որոշման ընդունման կապակցությամբ Հայաստանի Հանրապետության պետական բյուջեի եկամուտների ավելացում կամ նվազեցում չի առաջանա։</w:t>
      </w:r>
    </w:p>
    <w:p w:rsidR="008526C3" w:rsidRPr="000B79CA" w:rsidRDefault="008526C3" w:rsidP="008526C3">
      <w:pPr>
        <w:spacing w:line="360" w:lineRule="auto"/>
        <w:jc w:val="both"/>
        <w:rPr>
          <w:rFonts w:ascii="GHEA Grapalat" w:hAnsi="GHEA Grapalat"/>
          <w:sz w:val="24"/>
          <w:szCs w:val="24"/>
          <w:lang w:val="hy-AM"/>
        </w:rPr>
      </w:pPr>
    </w:p>
    <w:p w:rsidR="008526C3" w:rsidRPr="000B79CA" w:rsidRDefault="008526C3" w:rsidP="008526C3">
      <w:pPr>
        <w:spacing w:after="0" w:line="360" w:lineRule="auto"/>
        <w:ind w:firstLine="562"/>
        <w:jc w:val="both"/>
        <w:rPr>
          <w:rFonts w:ascii="GHEA Grapalat" w:hAnsi="GHEA Grapalat" w:cs="Cambria Math"/>
          <w:b/>
          <w:sz w:val="24"/>
          <w:szCs w:val="24"/>
          <w:lang w:val="hy-AM"/>
        </w:rPr>
      </w:pPr>
      <w:r w:rsidRPr="000B79CA">
        <w:rPr>
          <w:rFonts w:ascii="GHEA Grapalat" w:hAnsi="GHEA Grapalat"/>
          <w:b/>
          <w:sz w:val="24"/>
          <w:szCs w:val="24"/>
          <w:lang w:val="hy-AM"/>
        </w:rPr>
        <w:t>5</w:t>
      </w:r>
      <w:r w:rsidRPr="000B79CA">
        <w:rPr>
          <w:rFonts w:ascii="GHEA Grapalat" w:hAnsi="GHEA Grapalat" w:cs="Cambria Math"/>
          <w:b/>
          <w:sz w:val="24"/>
          <w:szCs w:val="24"/>
          <w:lang w:val="hy-AM"/>
        </w:rPr>
        <w:t>.</w:t>
      </w:r>
      <w:r w:rsidRPr="000B79CA">
        <w:rPr>
          <w:rFonts w:ascii="GHEA Grapalat" w:hAnsi="GHEA Grapalat"/>
          <w:b/>
          <w:sz w:val="24"/>
          <w:szCs w:val="24"/>
          <w:lang w:val="hy-AM"/>
        </w:rPr>
        <w:t xml:space="preserve"> Կապը ռազմավարական փաստաթղթերի հետ</w:t>
      </w:r>
    </w:p>
    <w:p w:rsidR="008526C3" w:rsidRPr="000B79CA" w:rsidRDefault="008526C3" w:rsidP="008526C3">
      <w:pPr>
        <w:spacing w:after="0" w:line="360" w:lineRule="auto"/>
        <w:ind w:firstLine="562"/>
        <w:jc w:val="both"/>
        <w:rPr>
          <w:rFonts w:ascii="GHEA Grapalat" w:hAnsi="GHEA Grapalat"/>
          <w:sz w:val="24"/>
          <w:szCs w:val="24"/>
          <w:lang w:val="hy-AM"/>
        </w:rPr>
      </w:pPr>
      <w:r w:rsidRPr="000B79CA">
        <w:rPr>
          <w:rStyle w:val="Strong"/>
          <w:rFonts w:ascii="GHEA Grapalat" w:hAnsi="GHEA Grapalat"/>
          <w:b w:val="0"/>
          <w:color w:val="000000"/>
          <w:lang w:val="hy-AM"/>
        </w:rPr>
        <w:t>«</w:t>
      </w:r>
      <w:r w:rsidRPr="000B79CA">
        <w:rPr>
          <w:rStyle w:val="Strong"/>
          <w:rFonts w:ascii="GHEA Grapalat" w:hAnsi="GHEA Grapalat"/>
          <w:b w:val="0"/>
          <w:color w:val="000000"/>
          <w:sz w:val="24"/>
          <w:szCs w:val="24"/>
          <w:lang w:val="hy-AM"/>
        </w:rPr>
        <w:t xml:space="preserve">Հայաստանի Հանրապետության կառավարության 2001 թվականի հոկտեմբերի 19-ի </w:t>
      </w:r>
      <w:r w:rsidRPr="000B79CA">
        <w:rPr>
          <w:rFonts w:ascii="GHEA Grapalat" w:hAnsi="GHEA Grapalat"/>
          <w:color w:val="000000"/>
          <w:sz w:val="24"/>
          <w:szCs w:val="24"/>
          <w:lang w:val="hy-AM"/>
        </w:rPr>
        <w:t>N 1015</w:t>
      </w:r>
      <w:r w:rsidRPr="000B79CA">
        <w:rPr>
          <w:rFonts w:ascii="GHEA Grapalat" w:hAnsi="GHEA Grapalat"/>
          <w:b/>
          <w:color w:val="000000"/>
          <w:sz w:val="24"/>
          <w:szCs w:val="24"/>
          <w:lang w:val="hy-AM"/>
        </w:rPr>
        <w:t xml:space="preserve"> </w:t>
      </w:r>
      <w:r w:rsidRPr="000B79CA">
        <w:rPr>
          <w:rStyle w:val="Strong"/>
          <w:rFonts w:ascii="GHEA Grapalat" w:hAnsi="GHEA Grapalat"/>
          <w:b w:val="0"/>
          <w:color w:val="000000"/>
          <w:sz w:val="24"/>
          <w:szCs w:val="24"/>
          <w:lang w:val="hy-AM"/>
        </w:rPr>
        <w:t xml:space="preserve">որոշումը ուժն կորցրած ճանաչելու մասին» </w:t>
      </w:r>
      <w:r w:rsidRPr="000B79CA">
        <w:rPr>
          <w:rFonts w:ascii="GHEA Grapalat" w:hAnsi="GHEA Grapalat"/>
          <w:sz w:val="24"/>
          <w:szCs w:val="24"/>
          <w:lang w:val="hy-AM"/>
        </w:rPr>
        <w:t>Հայաստանի Հանրապետության կառավարության որոշման նախագծի ընդունումը չի բխում որևէ ռազմավարական փաստաթղթից։</w:t>
      </w:r>
    </w:p>
    <w:p w:rsidR="00A17214" w:rsidRDefault="008526C3"/>
    <w:sectPr w:rsidR="00A17214" w:rsidSect="000A3719">
      <w:footerReference w:type="default" r:id="rId5"/>
      <w:headerReference w:type="first" r:id="rId6"/>
      <w:pgSz w:w="11906" w:h="16838"/>
      <w:pgMar w:top="851" w:right="567" w:bottom="567" w:left="1134" w:header="425"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HEA Grapalat" w:hAnsi="GHEA Grapalat"/>
        <w:sz w:val="24"/>
        <w:szCs w:val="24"/>
      </w:rPr>
      <w:id w:val="-1900125819"/>
      <w:docPartObj>
        <w:docPartGallery w:val="Page Numbers (Bottom of Page)"/>
        <w:docPartUnique/>
      </w:docPartObj>
    </w:sdtPr>
    <w:sdtEndPr/>
    <w:sdtContent>
      <w:p w:rsidR="00AE4A54" w:rsidRPr="000A3719" w:rsidRDefault="008526C3">
        <w:pPr>
          <w:pStyle w:val="Footer"/>
          <w:jc w:val="right"/>
          <w:rPr>
            <w:rFonts w:ascii="GHEA Grapalat" w:hAnsi="GHEA Grapalat"/>
            <w:sz w:val="24"/>
            <w:szCs w:val="24"/>
          </w:rPr>
        </w:pPr>
        <w:r w:rsidRPr="000A3719">
          <w:rPr>
            <w:rFonts w:ascii="GHEA Grapalat" w:hAnsi="GHEA Grapalat"/>
            <w:sz w:val="24"/>
            <w:szCs w:val="24"/>
          </w:rPr>
          <w:fldChar w:fldCharType="begin"/>
        </w:r>
        <w:r w:rsidRPr="000A3719">
          <w:rPr>
            <w:rFonts w:ascii="GHEA Grapalat" w:hAnsi="GHEA Grapalat"/>
            <w:sz w:val="24"/>
            <w:szCs w:val="24"/>
          </w:rPr>
          <w:instrText>PAGE   \* MERGEFORMAT</w:instrText>
        </w:r>
        <w:r w:rsidRPr="000A3719">
          <w:rPr>
            <w:rFonts w:ascii="GHEA Grapalat" w:hAnsi="GHEA Grapalat"/>
            <w:sz w:val="24"/>
            <w:szCs w:val="24"/>
          </w:rPr>
          <w:fldChar w:fldCharType="separate"/>
        </w:r>
        <w:r>
          <w:rPr>
            <w:rFonts w:ascii="GHEA Grapalat" w:hAnsi="GHEA Grapalat"/>
            <w:noProof/>
            <w:sz w:val="24"/>
            <w:szCs w:val="24"/>
          </w:rPr>
          <w:t>4</w:t>
        </w:r>
        <w:r w:rsidRPr="000A3719">
          <w:rPr>
            <w:rFonts w:ascii="GHEA Grapalat" w:hAnsi="GHEA Grapalat"/>
            <w:sz w:val="24"/>
            <w:szCs w:val="24"/>
          </w:rPr>
          <w:fldChar w:fldCharType="end"/>
        </w:r>
      </w:p>
    </w:sdtContent>
  </w:sdt>
  <w:p w:rsidR="00AE4A54" w:rsidRDefault="008526C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4" w:rsidRPr="00F94DCD" w:rsidRDefault="008526C3" w:rsidP="00B813BC">
    <w:pPr>
      <w:pStyle w:val="Header"/>
      <w:tabs>
        <w:tab w:val="left" w:pos="8199"/>
      </w:tabs>
      <w:ind w:left="-567"/>
      <w:jc w:val="both"/>
      <w:rPr>
        <w:rFonts w:ascii="GHEA Grapalat" w:hAnsi="GHEA Grapalat"/>
      </w:rPr>
    </w:pPr>
    <w:r w:rsidRPr="00F94DCD">
      <w:rPr>
        <w:rFonts w:ascii="GHEA Grapalat" w:hAnsi="GHEA Grapalat"/>
        <w:b/>
        <w:i/>
        <w:lang w:val="hy-AM"/>
      </w:rPr>
      <w:t xml:space="preserve">                                                                                                           </w:t>
    </w:r>
    <w:r>
      <w:rPr>
        <w:rFonts w:ascii="GHEA Grapalat" w:hAnsi="GHEA Grapalat"/>
        <w:b/>
        <w:i/>
      </w:rPr>
      <w:t xml:space="preserve">                    </w:t>
    </w:r>
    <w:r w:rsidRPr="00F94DCD">
      <w:rPr>
        <w:rFonts w:ascii="GHEA Grapalat" w:hAnsi="GHEA Grapalat"/>
        <w:b/>
        <w:i/>
        <w:lang w:val="hy-AM"/>
      </w:rPr>
      <w:t xml:space="preserve">  </w:t>
    </w:r>
    <w:r w:rsidRPr="00F94DCD">
      <w:rPr>
        <w:rFonts w:ascii="GHEA Grapalat" w:hAnsi="GHEA Grapalat"/>
        <w:b/>
        <w:i/>
      </w:rPr>
      <w:t>ՆԱԽԱԳԻԾ</w:t>
    </w:r>
  </w:p>
  <w:p w:rsidR="00AE4A54" w:rsidRDefault="008526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371BA"/>
    <w:multiLevelType w:val="hybridMultilevel"/>
    <w:tmpl w:val="FE127EB2"/>
    <w:lvl w:ilvl="0" w:tplc="5F1AEF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26C3"/>
    <w:rsid w:val="003E2C6D"/>
    <w:rsid w:val="008526C3"/>
    <w:rsid w:val="009E2A2E"/>
    <w:rsid w:val="009F7DAE"/>
    <w:rsid w:val="00DD7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C3"/>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526C3"/>
    <w:rPr>
      <w:b/>
      <w:bCs/>
    </w:rPr>
  </w:style>
  <w:style w:type="paragraph" w:styleId="Header">
    <w:name w:val="header"/>
    <w:basedOn w:val="Normal"/>
    <w:link w:val="HeaderChar"/>
    <w:uiPriority w:val="99"/>
    <w:unhideWhenUsed/>
    <w:rsid w:val="008526C3"/>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526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6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26C3"/>
    <w:rPr>
      <w:lang w:val="ru-RU"/>
    </w:rPr>
  </w:style>
  <w:style w:type="paragraph" w:styleId="ListParagraph">
    <w:name w:val="List Paragraph"/>
    <w:basedOn w:val="Normal"/>
    <w:uiPriority w:val="34"/>
    <w:qFormat/>
    <w:rsid w:val="008526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H-Baghyan</dc:creator>
  <cp:keywords/>
  <dc:description/>
  <cp:lastModifiedBy>H-Baghyan</cp:lastModifiedBy>
  <cp:revision>2</cp:revision>
  <dcterms:created xsi:type="dcterms:W3CDTF">2022-06-15T13:02:00Z</dcterms:created>
  <dcterms:modified xsi:type="dcterms:W3CDTF">2022-06-15T13:02:00Z</dcterms:modified>
</cp:coreProperties>
</file>