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0A" w:rsidRPr="00CC5D2D" w:rsidRDefault="00A04E0A" w:rsidP="00A04E0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C5D2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04E0A" w:rsidRPr="00CC5D2D" w:rsidRDefault="00A04E0A" w:rsidP="00A04E0A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2020 </w:t>
      </w:r>
    </w:p>
    <w:p w:rsidR="00A04E0A" w:rsidRPr="00CC5D2D" w:rsidRDefault="00A04E0A" w:rsidP="00A04E0A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ՆՈՅԵՄԲԵՐԻ 6-Ի ԹԻՎ 1786-Ն ՈՐՈՇՄԱՆ </w:t>
      </w:r>
    </w:p>
    <w:p w:rsidR="00A04E0A" w:rsidRPr="00CC5D2D" w:rsidRDefault="00A04E0A" w:rsidP="00A04E0A">
      <w:pPr>
        <w:spacing w:after="0"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 ՓՈՓՈԽՈՒԹՅՈՒՆ ԿԱՏԱՐԵԼՈՒ ՄԱՍԻՆ</w:t>
      </w:r>
      <w:r w:rsidRPr="00CC5D2D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» </w:t>
      </w:r>
      <w:r w:rsidRPr="00CC5D2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CC5D2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:rsidR="00A04E0A" w:rsidRPr="00CC5D2D" w:rsidRDefault="00A04E0A" w:rsidP="00A04E0A">
      <w:p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ru-RU"/>
        </w:rPr>
      </w:pPr>
    </w:p>
    <w:p w:rsidR="00A04E0A" w:rsidRPr="00CC5D2D" w:rsidRDefault="00A04E0A" w:rsidP="00A04E0A">
      <w:pPr>
        <w:pStyle w:val="ListParagraph"/>
        <w:numPr>
          <w:ilvl w:val="1"/>
          <w:numId w:val="1"/>
        </w:numPr>
        <w:tabs>
          <w:tab w:val="left" w:pos="720"/>
          <w:tab w:val="left" w:pos="810"/>
          <w:tab w:val="left" w:pos="900"/>
          <w:tab w:val="left" w:pos="990"/>
        </w:tabs>
        <w:spacing w:after="0" w:line="360" w:lineRule="auto"/>
        <w:ind w:hanging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Կարգավորման ենթակա խնդիրը.</w:t>
      </w:r>
    </w:p>
    <w:p w:rsidR="00A04E0A" w:rsidRPr="00CC5D2D" w:rsidRDefault="00A04E0A" w:rsidP="00A04E0A">
      <w:pPr>
        <w:spacing w:after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Pr="00CC5D2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2020 թվականի նոյեմբերի 6-ի թիվ 1786-Ն որոշման մեջ փոփոխություն կատարելու մասին</w:t>
      </w:r>
      <w:r w:rsidRPr="00CC5D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»</w:t>
      </w:r>
      <w:r w:rsidRPr="00CC5D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ՀՀ կառավարության </w:t>
      </w:r>
      <w:r w:rsidRPr="00CC5D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 նախագծով նախատեսվում է, որ սահմանել, որ ՊԵԿ քննչական մարմնում քննիչի պաշտոն զբաղեցնելու համար աշխատանքային ստաժ չի պահանջվում։</w:t>
      </w:r>
    </w:p>
    <w:p w:rsidR="00A04E0A" w:rsidRPr="00CC5D2D" w:rsidRDefault="00A04E0A" w:rsidP="00A04E0A">
      <w:pPr>
        <w:spacing w:after="0" w:line="360" w:lineRule="auto"/>
        <w:jc w:val="both"/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/>
        </w:rPr>
      </w:pP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         2</w:t>
      </w:r>
      <w:r w:rsidRPr="00CC5D2D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Ընթացիկ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իրավիճակը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և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իրավական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ակտի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ընդունման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fr-FR"/>
        </w:rPr>
        <w:t xml:space="preserve"> 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անհրաժեշտությունը</w:t>
      </w:r>
      <w:r w:rsidRPr="00CC5D2D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:rsidR="00A04E0A" w:rsidRPr="00CC5D2D" w:rsidRDefault="00A04E0A" w:rsidP="00A04E0A">
      <w:pPr>
        <w:spacing w:after="0" w:line="360" w:lineRule="auto"/>
        <w:jc w:val="both"/>
        <w:rPr>
          <w:rFonts w:ascii="GHEA Grapalat" w:hAnsi="GHEA Grapalat" w:cs="Courier New"/>
          <w:b/>
          <w:bCs/>
          <w:color w:val="000000"/>
          <w:sz w:val="24"/>
          <w:szCs w:val="24"/>
          <w:lang w:val="hy-AM"/>
        </w:rPr>
      </w:pPr>
      <w:r w:rsidRPr="00CC5D2D">
        <w:rPr>
          <w:rFonts w:ascii="GHEA Grapalat" w:eastAsia="MS Mincho" w:hAnsi="GHEA Grapalat" w:cs="Courier New"/>
          <w:b/>
          <w:bCs/>
          <w:color w:val="000000"/>
          <w:sz w:val="24"/>
          <w:szCs w:val="24"/>
          <w:lang w:val="hy-AM"/>
        </w:rPr>
        <w:t xml:space="preserve">Ներկայումս կառավարության քննարկվող որոշման համաձայն </w:t>
      </w:r>
      <w:r w:rsidRPr="00CC5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Քննչական մարմնում քննիչի պաշտոնի համար՝ մինչև նշանակումը դատավորի, դատախազի, քննչական մարմինների ինքնավար պաշտոնի, փաստաբանի կամ հետաքննության մարմնի հետաքննություն կատարելու իրավասություն ունեցող աշխատակցի առնվազն 1 տարվա աշխատանքային ստաժ կամ տվյալ պաշտոններում առնվազն 1 տարվա ընդհանուր` իրար փոխլրացնող, աշխատանքային ստաժ: Նշված կարգավորումը առաջացնում է որոշակի դժվարություններ քննչական մարմնում պաշտոնների համալրման համար՝ հանգեցնելով տևական ժամանակ թափուր հաստիքների չհամալրմանը, միաժամանակ ծանրաբեռնելով քննչական մարմինների աշխատանքը։</w:t>
      </w:r>
    </w:p>
    <w:p w:rsidR="00A04E0A" w:rsidRPr="00CC5D2D" w:rsidRDefault="00A04E0A" w:rsidP="00A04E0A">
      <w:pPr>
        <w:spacing w:after="0" w:line="360" w:lineRule="auto"/>
        <w:ind w:firstLine="709"/>
        <w:jc w:val="both"/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</w:pP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3</w:t>
      </w:r>
      <w:r w:rsidRPr="00CC5D2D">
        <w:rPr>
          <w:rFonts w:ascii="GHEA Grapalat" w:hAnsi="GHEA Grapalat" w:cs="Cambria Math"/>
          <w:b/>
          <w:bCs/>
          <w:color w:val="000000"/>
          <w:sz w:val="24"/>
          <w:szCs w:val="24"/>
          <w:lang w:val="hy-AM"/>
        </w:rPr>
        <w:t>.</w:t>
      </w:r>
      <w:r w:rsidRPr="00CC5D2D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Առաջարկվող կարգավորման բնույթը</w:t>
      </w:r>
    </w:p>
    <w:p w:rsidR="00A04E0A" w:rsidRPr="00CC5D2D" w:rsidRDefault="00A04E0A" w:rsidP="00A04E0A">
      <w:pPr>
        <w:spacing w:after="0"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CC5D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է «</w:t>
      </w:r>
      <w:r w:rsidRPr="00CC5D2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2020 թվականի նոյեմբերի 6-ի թիվ 1786-Ն որոշման մեջ փոփոխություն կատարելու մասին</w:t>
      </w:r>
      <w:r w:rsidRPr="00CC5D2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»</w:t>
      </w:r>
      <w:r w:rsidRPr="00CC5D2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ՀՀ կառավարության </w:t>
      </w:r>
      <w:r w:rsidRPr="00CC5D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 նախագիծը</w:t>
      </w:r>
      <w:r w:rsidRPr="00CC5D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04E0A" w:rsidRPr="00CC5D2D" w:rsidRDefault="00A04E0A" w:rsidP="00A04E0A">
      <w:pPr>
        <w:tabs>
          <w:tab w:val="left" w:pos="0"/>
          <w:tab w:val="left" w:pos="180"/>
          <w:tab w:val="left" w:pos="450"/>
          <w:tab w:val="left" w:pos="540"/>
          <w:tab w:val="left" w:pos="63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5D2D">
        <w:rPr>
          <w:rFonts w:ascii="GHEA Grapalat" w:hAnsi="GHEA Grapalat"/>
          <w:b/>
          <w:sz w:val="24"/>
          <w:szCs w:val="24"/>
          <w:lang w:val="hy-AM"/>
        </w:rPr>
        <w:t xml:space="preserve">    4. Նախագծի մշակման գործընթացում ներգրավված ինստիտուտները և անձինք.</w:t>
      </w:r>
    </w:p>
    <w:p w:rsidR="00A04E0A" w:rsidRPr="00CC5D2D" w:rsidRDefault="00A04E0A" w:rsidP="00A04E0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5D2D">
        <w:rPr>
          <w:rFonts w:ascii="GHEA Grapalat" w:hAnsi="GHEA Grapalat"/>
          <w:sz w:val="24"/>
          <w:szCs w:val="24"/>
          <w:lang w:val="hy-AM"/>
        </w:rPr>
        <w:t>Նախագիծը մշակվել է ՀՀ պետական եկամուտների կոմիտեի կողմից:</w:t>
      </w:r>
    </w:p>
    <w:p w:rsidR="00A04E0A" w:rsidRPr="00CC5D2D" w:rsidRDefault="00A04E0A" w:rsidP="00A04E0A">
      <w:pPr>
        <w:pStyle w:val="norm"/>
        <w:tabs>
          <w:tab w:val="left" w:pos="1170"/>
        </w:tabs>
        <w:spacing w:line="360" w:lineRule="auto"/>
        <w:ind w:firstLine="720"/>
        <w:rPr>
          <w:rFonts w:ascii="GHEA Grapalat" w:hAnsi="GHEA Grapalat"/>
          <w:b/>
          <w:w w:val="105"/>
          <w:sz w:val="24"/>
          <w:szCs w:val="24"/>
          <w:lang w:val="hy-AM"/>
        </w:rPr>
      </w:pPr>
      <w:r w:rsidRPr="00CC5D2D">
        <w:rPr>
          <w:rFonts w:ascii="GHEA Grapalat" w:hAnsi="GHEA Grapalat"/>
          <w:b/>
          <w:sz w:val="24"/>
          <w:szCs w:val="24"/>
          <w:lang w:val="hy-AM"/>
        </w:rPr>
        <w:lastRenderedPageBreak/>
        <w:t>5.</w:t>
      </w:r>
      <w:r w:rsidRPr="00CC5D2D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A04E0A" w:rsidRPr="00CC5D2D" w:rsidRDefault="00A04E0A" w:rsidP="00A04E0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C5D2D">
        <w:rPr>
          <w:rFonts w:ascii="GHEA Grapalat" w:hAnsi="GHEA Grapalat"/>
          <w:sz w:val="24"/>
          <w:szCs w:val="24"/>
          <w:lang w:val="hy-AM"/>
        </w:rPr>
        <w:t>Նախագծի ընդունումը անմիջականորեն չի բխում ընդունած ռազմավարություններից։</w:t>
      </w:r>
    </w:p>
    <w:p w:rsidR="00A04E0A" w:rsidRPr="00CC5D2D" w:rsidRDefault="00A04E0A" w:rsidP="00A04E0A">
      <w:pPr>
        <w:tabs>
          <w:tab w:val="left" w:pos="567"/>
          <w:tab w:val="left" w:pos="993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5D2D">
        <w:rPr>
          <w:rFonts w:ascii="GHEA Grapalat" w:hAnsi="GHEA Grapalat"/>
          <w:b/>
          <w:sz w:val="24"/>
          <w:szCs w:val="24"/>
          <w:lang w:val="hy-AM"/>
        </w:rPr>
        <w:tab/>
        <w:t xml:space="preserve">  6</w:t>
      </w:r>
      <w:r w:rsidRPr="00CC5D2D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CC5D2D">
        <w:rPr>
          <w:rFonts w:ascii="GHEA Grapalat" w:hAnsi="GHEA Grapalat"/>
          <w:b/>
          <w:sz w:val="24"/>
          <w:szCs w:val="24"/>
          <w:lang w:val="hy-AM"/>
        </w:rPr>
        <w:t xml:space="preserve"> Նպատակը և ակնկալվող արդյունքը.</w:t>
      </w:r>
    </w:p>
    <w:p w:rsidR="00A04E0A" w:rsidRPr="00CC5D2D" w:rsidRDefault="00A04E0A" w:rsidP="00A04E0A">
      <w:pPr>
        <w:pStyle w:val="norm"/>
        <w:spacing w:line="360" w:lineRule="auto"/>
        <w:ind w:firstLine="720"/>
        <w:rPr>
          <w:rFonts w:ascii="GHEA Grapalat" w:hAnsi="GHEA Grapalat" w:cs="Arial Armenian"/>
          <w:b/>
          <w:spacing w:val="-8"/>
          <w:sz w:val="24"/>
          <w:szCs w:val="24"/>
          <w:lang w:val="hy-AM"/>
        </w:rPr>
      </w:pPr>
      <w:r w:rsidRPr="00CC5D2D">
        <w:rPr>
          <w:rFonts w:ascii="GHEA Grapalat" w:eastAsiaTheme="minorEastAsia" w:hAnsi="GHEA Grapalat" w:cstheme="minorBidi"/>
          <w:bCs/>
          <w:sz w:val="24"/>
          <w:szCs w:val="24"/>
          <w:lang w:val="hy-AM" w:eastAsia="en-US"/>
        </w:rPr>
        <w:t>Նախագծի ընդունմամբ հնարավորություն կնախատեսվի քննչական մարմնում առկա թափուր հաստիքները համալրել՝ ապահովելով քննչական մարմնի բնականոն գործունեությունը</w:t>
      </w:r>
      <w:r w:rsidRPr="00CC5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Pr="00CC5D2D">
        <w:rPr>
          <w:rFonts w:ascii="GHEA Grapalat" w:hAnsi="GHEA Grapalat" w:cs="Arial Armenian"/>
          <w:b/>
          <w:spacing w:val="-8"/>
          <w:sz w:val="24"/>
          <w:szCs w:val="24"/>
          <w:lang w:val="hy-AM"/>
        </w:rPr>
        <w:t xml:space="preserve"> </w:t>
      </w:r>
    </w:p>
    <w:p w:rsidR="00A04E0A" w:rsidRPr="00CC5D2D" w:rsidRDefault="00A04E0A" w:rsidP="00A04E0A">
      <w:pPr>
        <w:pStyle w:val="norm"/>
        <w:spacing w:line="360" w:lineRule="auto"/>
        <w:ind w:left="720" w:firstLine="0"/>
        <w:rPr>
          <w:rFonts w:ascii="GHEA Grapalat" w:eastAsiaTheme="minorEastAsia" w:hAnsi="GHEA Grapalat" w:cstheme="minorBidi"/>
          <w:b/>
          <w:sz w:val="24"/>
          <w:szCs w:val="24"/>
          <w:lang w:val="hy-AM" w:eastAsia="en-US"/>
        </w:rPr>
      </w:pPr>
      <w:r w:rsidRPr="00CC5D2D">
        <w:rPr>
          <w:rFonts w:ascii="GHEA Grapalat" w:hAnsi="GHEA Grapalat" w:cs="Arial Armenian"/>
          <w:b/>
          <w:spacing w:val="-8"/>
          <w:sz w:val="24"/>
          <w:szCs w:val="24"/>
          <w:lang w:val="hy-AM"/>
        </w:rPr>
        <w:t xml:space="preserve"> 7</w:t>
      </w:r>
      <w:r w:rsidRPr="00CC5D2D">
        <w:rPr>
          <w:rFonts w:ascii="GHEA Grapalat" w:eastAsiaTheme="minorEastAsia" w:hAnsi="GHEA Grapalat" w:cstheme="minorBidi"/>
          <w:b/>
          <w:sz w:val="24"/>
          <w:szCs w:val="24"/>
          <w:lang w:val="hy-AM" w:eastAsia="en-US"/>
        </w:rPr>
        <w:t>. Այլ տեղեկություններ</w:t>
      </w:r>
    </w:p>
    <w:p w:rsidR="00A04E0A" w:rsidRPr="00CC5D2D" w:rsidRDefault="00A04E0A" w:rsidP="00A04E0A">
      <w:pPr>
        <w:pStyle w:val="norm"/>
        <w:spacing w:line="360" w:lineRule="auto"/>
        <w:ind w:firstLine="720"/>
        <w:rPr>
          <w:rFonts w:ascii="GHEA Grapalat" w:eastAsiaTheme="minorEastAsia" w:hAnsi="GHEA Grapalat" w:cstheme="minorBidi"/>
          <w:bCs/>
          <w:sz w:val="24"/>
          <w:szCs w:val="24"/>
          <w:lang w:val="hy-AM" w:eastAsia="en-US"/>
        </w:rPr>
      </w:pPr>
      <w:r w:rsidRPr="00CC5D2D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CC5D2D">
        <w:rPr>
          <w:rFonts w:ascii="GHEA Grapalat" w:eastAsiaTheme="minorEastAsia" w:hAnsi="GHEA Grapalat" w:cstheme="minorBidi"/>
          <w:bCs/>
          <w:sz w:val="24"/>
          <w:szCs w:val="24"/>
          <w:lang w:val="hy-AM" w:eastAsia="en-US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A04E0A" w:rsidRPr="00CC5D2D" w:rsidRDefault="00A04E0A" w:rsidP="00A04E0A">
      <w:pPr>
        <w:pStyle w:val="norm"/>
        <w:spacing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04E0A" w:rsidRPr="00CC5D2D" w:rsidRDefault="00A04E0A" w:rsidP="00A04E0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04E0A" w:rsidRPr="00CC5D2D" w:rsidRDefault="00A04E0A" w:rsidP="00A04E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A04E0A" w:rsidRPr="00CC5D2D" w:rsidRDefault="00A04E0A" w:rsidP="00A04E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04E0A" w:rsidRPr="00CC5D2D" w:rsidRDefault="00A04E0A" w:rsidP="00A04E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A04E0A" w:rsidRPr="00CC5D2D" w:rsidRDefault="00A04E0A" w:rsidP="00A04E0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51228" w:rsidRPr="00A04E0A" w:rsidRDefault="00C51228">
      <w:pPr>
        <w:rPr>
          <w:lang w:val="hy-AM"/>
        </w:rPr>
      </w:pPr>
      <w:bookmarkStart w:id="0" w:name="_GoBack"/>
      <w:bookmarkEnd w:id="0"/>
    </w:p>
    <w:sectPr w:rsidR="00C51228" w:rsidRPr="00A04E0A" w:rsidSect="00AF25D9">
      <w:pgSz w:w="12240" w:h="15840"/>
      <w:pgMar w:top="990" w:right="76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0A"/>
    <w:rsid w:val="00A04E0A"/>
    <w:rsid w:val="00C5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A04E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4E0A"/>
    <w:rPr>
      <w:b/>
      <w:bCs/>
    </w:rPr>
  </w:style>
  <w:style w:type="paragraph" w:styleId="NormalWeb">
    <w:name w:val="Normal (Web)"/>
    <w:basedOn w:val="Normal"/>
    <w:uiPriority w:val="99"/>
    <w:unhideWhenUsed/>
    <w:rsid w:val="00A0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A04E0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A04E0A"/>
    <w:rPr>
      <w:rFonts w:eastAsiaTheme="minorEastAsia"/>
    </w:rPr>
  </w:style>
  <w:style w:type="character" w:customStyle="1" w:styleId="normChar">
    <w:name w:val="norm Char"/>
    <w:link w:val="norm"/>
    <w:locked/>
    <w:rsid w:val="00A04E0A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A04E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4E0A"/>
    <w:rPr>
      <w:b/>
      <w:bCs/>
    </w:rPr>
  </w:style>
  <w:style w:type="paragraph" w:styleId="NormalWeb">
    <w:name w:val="Normal (Web)"/>
    <w:basedOn w:val="Normal"/>
    <w:uiPriority w:val="99"/>
    <w:unhideWhenUsed/>
    <w:rsid w:val="00A0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A04E0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A04E0A"/>
    <w:rPr>
      <w:rFonts w:eastAsiaTheme="minorEastAsia"/>
    </w:rPr>
  </w:style>
  <w:style w:type="character" w:customStyle="1" w:styleId="normChar">
    <w:name w:val="norm Char"/>
    <w:link w:val="norm"/>
    <w:locked/>
    <w:rsid w:val="00A04E0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lastModifiedBy>Marine Asatryan</cp:lastModifiedBy>
  <cp:revision>1</cp:revision>
  <dcterms:created xsi:type="dcterms:W3CDTF">2022-07-06T10:32:00Z</dcterms:created>
  <dcterms:modified xsi:type="dcterms:W3CDTF">2022-07-06T10:32:00Z</dcterms:modified>
</cp:coreProperties>
</file>