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47373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ԼՐԱՑՈՒՄ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(ԱՅՍՈՒՀԵՏ` ՆԱԽԱԳԻԾ) ԸՆԴՈՒՆՄԱՆ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2D246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ՀՀ</w:t>
      </w:r>
      <w:r w:rsidR="004B6F0A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N 1437-Ն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2020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դեկտեմբեր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10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2046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մայի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սի 27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861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ումներով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="004B6F0A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ռողջապահական և աշխատանքի տեսչական մարմնի 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(այսուհետ՝ Տեսչական մարմին) </w:t>
      </w:r>
      <w:r w:rsidR="004B6F0A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 w:rsid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որոնք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երահսկողության ամբողջ շրջանակը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պարբերաբար անհրաժեշտություն է առաջանում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լրացնել առանձին բնագավառներ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իրականացնելու վերաբերյալ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ստուգաթերթերով։</w:t>
      </w:r>
    </w:p>
    <w:p w:rsidR="0065583E" w:rsidRDefault="0065583E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Տեսչական մարմինը Բնակչության բժշկական օգնության և սպասարկման մասին և Լիցենզավորման մասին ՀՀ օրենքներով, ՀՀ կառավարության 2002 թվականի դեկտեմբերի 5-ի N 1936-Ն, ՀՀ կառավարության 2002 թվականի հունիսի 29-ի N 867, 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ՀՀ կառավարության 2008 թվականի մարտի 27-ի N 276-Ն,</w:t>
      </w:r>
      <w:r w:rsidRPr="00204BA0">
        <w:rPr>
          <w:lang w:val="hy-AM"/>
        </w:rPr>
        <w:t xml:space="preserve"> 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կառավարության 2014 թվականի դեկտեմբերի 25-ի N 1529-Ն որոշումներով,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ՀՀ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վարչապետի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2018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հունիսի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11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ի թիվ 755-Լ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որոշմամբ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>նախատեսված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04BA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լիազորությունների շրջանակներում 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 թիվս այլնի, վերահսկողություն է իրականացնում նաև Հայաստանի Հանրապետությունում </w:t>
      </w:r>
      <w:bookmarkStart w:id="1" w:name="_Hlk90308347"/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>բ</w:t>
      </w:r>
      <w:r w:rsidRPr="00204B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օգնության և սպասարկման </w:t>
      </w:r>
      <w:bookmarkEnd w:id="1"/>
      <w:r w:rsidRPr="00204B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 ունեցող անձանց կողմից 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>մատուցվող արտահիվանդանոցային բժշկական օգնության և սպասարկման ներկայացվող պահանջների պահպանման նկատմամբ։</w:t>
      </w:r>
    </w:p>
    <w:p w:rsidR="000D6E33" w:rsidRDefault="003F66B9" w:rsidP="00AC51CB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Ելնելով վերոնշվածից</w:t>
      </w:r>
      <w:r w:rsidR="00E510FC"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ինչպես նաև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հաշվի առնելով 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կառավարության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կողմից 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>հաստատ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>ած ռիսկերի մեթոդաբանությ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ունը և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տարեկան ստուգումների ծրագիրը</w:t>
      </w:r>
      <w:r w:rsidRPr="003F66B9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A61CD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204BA0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անհրաժեշտություն է առաջացրել մշակելու բժշկական օգնության և սպասարկման բնագավառում «Կալանավորված անձանց և դատապարտյալների համար ստեղծված բժշկական կազմակերպությունների կողմից տրամադրվող բժշկական օգնության ու սպասարկման բնագավառի վերահսկողություն» (Ստուգաթերթ N 3.17) ստուգաթերթի նախագիծը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: </w:t>
      </w:r>
    </w:p>
    <w:p w:rsidR="00E75571" w:rsidRP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7F693B" w:rsidRPr="00443CBC" w:rsidRDefault="004B6F0A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 հետևյալ բնագավառի ստու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</w:t>
      </w:r>
      <w:r w:rsidR="00662B06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353C0A" w:rsidRPr="00102B81" w:rsidRDefault="001640F8" w:rsidP="00630DE8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b/>
          <w:bCs/>
          <w:i/>
          <w:lang w:val="hy-AM" w:eastAsia="ru-RU"/>
        </w:rPr>
      </w:pPr>
      <w:r w:rsidRPr="00102B81">
        <w:rPr>
          <w:rFonts w:ascii="GHEA Grapalat" w:hAnsi="GHEA Grapalat"/>
          <w:b/>
          <w:bCs/>
          <w:i/>
          <w:lang w:val="hy-AM" w:eastAsia="ru-RU"/>
        </w:rPr>
        <w:t xml:space="preserve">Բժշկական օգնության և սպասարկման </w:t>
      </w:r>
      <w:r w:rsidR="00353C0A" w:rsidRPr="00102B81">
        <w:rPr>
          <w:rFonts w:ascii="GHEA Grapalat" w:hAnsi="GHEA Grapalat"/>
          <w:b/>
          <w:bCs/>
          <w:i/>
          <w:lang w:val="hy-AM" w:eastAsia="ru-RU"/>
        </w:rPr>
        <w:t>բնագավառում՝</w:t>
      </w:r>
    </w:p>
    <w:p w:rsidR="00353C0A" w:rsidRDefault="001640F8" w:rsidP="001640F8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102B8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</w:t>
      </w:r>
      <w:r w:rsidR="00792BFE" w:rsidRPr="00792BFE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Կալանավորված անձանց և դատապարտյալների համար ստեղծված բժշկական կազմակերպությունների կողմից տրամադրվող բժշկական օգնության ու սպասարկման բնագավառի վերահսկողություն</w:t>
      </w:r>
      <w:r w:rsidRPr="00102B8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», </w:t>
      </w:r>
      <w:r w:rsidR="007C5A56" w:rsidRPr="00102B8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որն ընդգրկում է</w:t>
      </w:r>
      <w:r w:rsidR="004814F2" w:rsidRPr="00102B8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r w:rsidR="00594A6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17</w:t>
      </w:r>
      <w:r w:rsidR="007C5A56" w:rsidRPr="00102B8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հարց</w:t>
      </w:r>
      <w:r w:rsidR="00353C0A" w:rsidRPr="00102B81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:</w:t>
      </w:r>
    </w:p>
    <w:p w:rsidR="00E75571" w:rsidRPr="0065583E" w:rsidRDefault="00E510FC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510FC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="00E75571"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</w:t>
      </w:r>
      <w:r w:rsidR="002D246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="00E75571"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2D246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="00E75571"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:rsidR="007215E5" w:rsidRPr="0065583E" w:rsidRDefault="007215E5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Ստուգաթերթի հարցերն ընդգրկում են տնտեսավարող սուբյեկտների նկատմամբ Հայաստանի Հանրապետության օրենքներով և այլ նորմատիվ իրավական ակտերով 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>սահմանված այն պահանջների սպառիչ ցանկը, որոնց խախտումը կարող է վնաս հասցնել մարդու կյանքին կամ առողջությանը, կենդանիներին, շրջակա միջավայրին, քաղաքացիների, իրավաբանական անձանց կամ պետության գույքային իրավունքներին:</w:t>
      </w:r>
    </w:p>
    <w:p w:rsidR="00D25A13" w:rsidRPr="0065583E" w:rsidRDefault="00833476" w:rsidP="00D25A13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Ռիսկը տնտեսավարող սուբյեկտի գործունեության արդյունքում մարդու կյանքին, առողջությանը, շրջակա միջավայրին, պետության, իրավաբանական և ֆիզիկական անձանց գույքային շահերին, բնական և էներգետիկ պաշարների խնայողությանը վնաս հասցնելու հավանականությունն է` հաշվի առնելով այդ վնասի ծանրության աստիճանը:</w:t>
      </w:r>
    </w:p>
    <w:p w:rsidR="00833476" w:rsidRPr="00005A88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Ռիսկի վրա հիմնված ստուգումների համակարգի միջոցով ստուգում իրականացնող մարմինը ստուգումները նպատակաուղղում է դեպի այն ոլորտները և վերահսկման օբյեկտները, որոնք առավել ռիսկային են:</w:t>
      </w:r>
    </w:p>
    <w:p w:rsidR="004B6F0A" w:rsidRDefault="000D114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:rsidR="004B6F0A" w:rsidRDefault="000D1140" w:rsidP="004E230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594A67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ՀՀ վարչապետի աշխատակազմի տեսչական մարմինների աշխատանքների համակարգման գրասենյակի </w:t>
      </w:r>
      <w:r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և Տեսչական մարմնի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կողմից </w:t>
      </w:r>
      <w:r w:rsidRPr="0059356B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համատեղ</w:t>
      </w:r>
      <w:r w:rsidR="004B6F0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:rsidR="00A15A05" w:rsidRDefault="00A15A05" w:rsidP="00A15A05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:rsid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C95195" w:rsidRPr="009B594C" w:rsidRDefault="00C95195" w:rsidP="00C9519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E60EE1" w:rsidRDefault="00C95195" w:rsidP="00E60EE1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E60EE1">
        <w:rPr>
          <w:rFonts w:ascii="GHEA Grapalat" w:hAnsi="GHEA Grapalat"/>
          <w:sz w:val="24"/>
          <w:lang w:val="hy-AM"/>
        </w:rPr>
        <w:t>Ն</w:t>
      </w:r>
      <w:r w:rsidR="00E60EE1"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:rsidR="00C95195" w:rsidRPr="000333ED" w:rsidRDefault="00C9519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4E4B69" w:rsidRPr="00A15A05" w:rsidRDefault="004E4B69" w:rsidP="004E230E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:rsidR="00AF259E" w:rsidRDefault="00AF259E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A7804"/>
    <w:rsid w:val="000D1140"/>
    <w:rsid w:val="000D6E33"/>
    <w:rsid w:val="000E7E81"/>
    <w:rsid w:val="00102B81"/>
    <w:rsid w:val="0011213E"/>
    <w:rsid w:val="00132DD0"/>
    <w:rsid w:val="00154130"/>
    <w:rsid w:val="001640F8"/>
    <w:rsid w:val="00173EDB"/>
    <w:rsid w:val="00175B3B"/>
    <w:rsid w:val="001D543F"/>
    <w:rsid w:val="00204BA0"/>
    <w:rsid w:val="002D2460"/>
    <w:rsid w:val="00353C0A"/>
    <w:rsid w:val="00360346"/>
    <w:rsid w:val="00383BD8"/>
    <w:rsid w:val="003F1CF6"/>
    <w:rsid w:val="003F2193"/>
    <w:rsid w:val="003F66B9"/>
    <w:rsid w:val="00412F93"/>
    <w:rsid w:val="00425E8A"/>
    <w:rsid w:val="00443CBC"/>
    <w:rsid w:val="00453C84"/>
    <w:rsid w:val="0046524C"/>
    <w:rsid w:val="00471F2A"/>
    <w:rsid w:val="00473735"/>
    <w:rsid w:val="00473BDF"/>
    <w:rsid w:val="004814F2"/>
    <w:rsid w:val="004A1A4D"/>
    <w:rsid w:val="004B6F0A"/>
    <w:rsid w:val="004E230E"/>
    <w:rsid w:val="004E4B69"/>
    <w:rsid w:val="005106B7"/>
    <w:rsid w:val="005474E0"/>
    <w:rsid w:val="00594A67"/>
    <w:rsid w:val="005D19CD"/>
    <w:rsid w:val="005E4272"/>
    <w:rsid w:val="005F4DD3"/>
    <w:rsid w:val="00616624"/>
    <w:rsid w:val="00641304"/>
    <w:rsid w:val="0065583E"/>
    <w:rsid w:val="00662B06"/>
    <w:rsid w:val="006B4940"/>
    <w:rsid w:val="00715BA5"/>
    <w:rsid w:val="007215E5"/>
    <w:rsid w:val="00747F8F"/>
    <w:rsid w:val="0075170A"/>
    <w:rsid w:val="00792BFE"/>
    <w:rsid w:val="007C5A56"/>
    <w:rsid w:val="007F6485"/>
    <w:rsid w:val="007F693B"/>
    <w:rsid w:val="00801FD3"/>
    <w:rsid w:val="008137A8"/>
    <w:rsid w:val="00833476"/>
    <w:rsid w:val="008A564D"/>
    <w:rsid w:val="008E5805"/>
    <w:rsid w:val="009138BA"/>
    <w:rsid w:val="00925DD8"/>
    <w:rsid w:val="009464BF"/>
    <w:rsid w:val="0097389F"/>
    <w:rsid w:val="00995F39"/>
    <w:rsid w:val="009B2386"/>
    <w:rsid w:val="009B3D97"/>
    <w:rsid w:val="009E23C0"/>
    <w:rsid w:val="009F6C3B"/>
    <w:rsid w:val="00A15A05"/>
    <w:rsid w:val="00A23F41"/>
    <w:rsid w:val="00A43EA1"/>
    <w:rsid w:val="00A61CD8"/>
    <w:rsid w:val="00AA4580"/>
    <w:rsid w:val="00AC51CB"/>
    <w:rsid w:val="00AF16E0"/>
    <w:rsid w:val="00AF259E"/>
    <w:rsid w:val="00B03C89"/>
    <w:rsid w:val="00B21D11"/>
    <w:rsid w:val="00B22629"/>
    <w:rsid w:val="00BD258A"/>
    <w:rsid w:val="00C209B4"/>
    <w:rsid w:val="00C21520"/>
    <w:rsid w:val="00C25091"/>
    <w:rsid w:val="00C63A67"/>
    <w:rsid w:val="00C94D63"/>
    <w:rsid w:val="00C95195"/>
    <w:rsid w:val="00CA54E0"/>
    <w:rsid w:val="00CF6BB2"/>
    <w:rsid w:val="00D252A4"/>
    <w:rsid w:val="00D25A13"/>
    <w:rsid w:val="00D42A30"/>
    <w:rsid w:val="00E32830"/>
    <w:rsid w:val="00E510FC"/>
    <w:rsid w:val="00E60EE1"/>
    <w:rsid w:val="00E75571"/>
    <w:rsid w:val="00E87F3C"/>
    <w:rsid w:val="00EA522B"/>
    <w:rsid w:val="00EA5FA3"/>
    <w:rsid w:val="00EB0FBD"/>
    <w:rsid w:val="00EC2154"/>
    <w:rsid w:val="00F161CF"/>
    <w:rsid w:val="00F2700B"/>
    <w:rsid w:val="00F57540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Syuzanna Gevorgyan</cp:lastModifiedBy>
  <cp:revision>2</cp:revision>
  <dcterms:created xsi:type="dcterms:W3CDTF">2022-06-13T12:33:00Z</dcterms:created>
  <dcterms:modified xsi:type="dcterms:W3CDTF">2022-06-13T12:33:00Z</dcterms:modified>
</cp:coreProperties>
</file>