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Default="004B6F0A" w:rsidP="00494A01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69649325" w:rsidR="004B6F0A" w:rsidRDefault="004B6F0A" w:rsidP="00494A01">
      <w:pPr>
        <w:spacing w:line="360" w:lineRule="auto"/>
        <w:ind w:left="-720"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30-Ի N 718-Ն ՈՐՈՇՄԱՆ ՄԵՋ </w:t>
      </w:r>
      <w:r w:rsidR="006968C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="003F2193"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  <w:r w:rsidR="00A15A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(ԱՅՍՈՒՀԵՏ</w:t>
      </w:r>
      <w:r w:rsidR="00451E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ԵՎ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` ՆԱԽԱԳԻԾ) ԸՆԴՈՒՆՄԱՆ</w:t>
      </w:r>
    </w:p>
    <w:p w14:paraId="7A35E331" w14:textId="77777777" w:rsidR="004B6F0A" w:rsidRDefault="004B6F0A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0059C976" w14:textId="77777777" w:rsidR="002223A9" w:rsidRPr="00580A33" w:rsidRDefault="00C75A55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</w:t>
      </w:r>
      <w:r w:rsidR="002223A9" w:rsidRPr="002223A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2223A9" w:rsidRPr="002223A9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2223A9" w:rsidRPr="002223A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Հանրապետությունում</w:t>
      </w:r>
      <w:r w:rsidR="002223A9" w:rsidRPr="002223A9">
        <w:rPr>
          <w:rFonts w:ascii="Segoe UI" w:hAnsi="Segoe UI" w:cs="Segoe UI"/>
          <w:color w:val="222222"/>
          <w:sz w:val="24"/>
          <w:szCs w:val="24"/>
          <w:shd w:val="clear" w:color="auto" w:fill="FFFFFF"/>
          <w:lang w:val="hy-AM"/>
        </w:rPr>
        <w:t> </w:t>
      </w:r>
      <w:r w:rsidR="002223A9" w:rsidRPr="002223A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ստուգումների կազմակերպման և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</w:t>
      </w:r>
      <w:r w:rsidR="002223A9" w:rsidRPr="002223A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նցկացման մասին» օրենքի համաձայն՝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223A9" w:rsidRPr="00580A33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ստուգում իրականացնող պետական մարմինները հաստատում են ստուգումների տարեկան ծրագիր,</w:t>
      </w:r>
      <w:r w:rsidR="002223A9" w:rsidRPr="00580A33">
        <w:rPr>
          <w:rFonts w:ascii="Segoe UI" w:hAnsi="Segoe UI" w:cs="Segoe UI"/>
          <w:iCs/>
          <w:color w:val="222222"/>
          <w:sz w:val="24"/>
          <w:szCs w:val="24"/>
          <w:shd w:val="clear" w:color="auto" w:fill="FFFFFF"/>
          <w:lang w:val="hy-AM"/>
        </w:rPr>
        <w:t> </w:t>
      </w:r>
      <w:r w:rsidR="002223A9" w:rsidRPr="00580A33">
        <w:rPr>
          <w:rFonts w:cs="Calibri"/>
          <w:iCs/>
          <w:color w:val="222222"/>
          <w:sz w:val="24"/>
          <w:szCs w:val="24"/>
          <w:shd w:val="clear" w:color="auto" w:fill="FFFFFF"/>
          <w:lang w:val="hy-AM"/>
        </w:rPr>
        <w:t> </w:t>
      </w:r>
      <w:r w:rsidR="002223A9" w:rsidRPr="00580A33">
        <w:rPr>
          <w:rFonts w:ascii="GHEA Grapalat" w:hAnsi="GHEA Grapalat" w:cs="Segoe UI"/>
          <w:iCs/>
          <w:color w:val="222222"/>
          <w:sz w:val="24"/>
          <w:szCs w:val="24"/>
          <w:shd w:val="clear" w:color="auto" w:fill="FFFFFF"/>
          <w:lang w:val="hy-AM"/>
        </w:rPr>
        <w:t xml:space="preserve">մշակում են տվյալ ոլորտում տնտեսավարող սուբյեկտների գործունեության ռիսկայնության աստիճանը որոշող չափանիշներ, </w:t>
      </w:r>
      <w:r w:rsidR="002223A9" w:rsidRPr="00580A33">
        <w:rPr>
          <w:rFonts w:ascii="GHEA Grapalat" w:hAnsi="GHEA Grapalat" w:cs="Segoe UI"/>
          <w:b/>
          <w:i/>
          <w:iCs/>
          <w:color w:val="222222"/>
          <w:sz w:val="24"/>
          <w:szCs w:val="24"/>
          <w:u w:val="single"/>
          <w:shd w:val="clear" w:color="auto" w:fill="FFFFFF"/>
          <w:lang w:val="hy-AM"/>
        </w:rPr>
        <w:t>իսկ ստուգումները իրականացվում են բացառապես Հայաստանի Հանրապետության կառավարության կողմից հաստատված ստուգաթերթերի հիման վրա</w:t>
      </w:r>
      <w:r w:rsidR="002223A9" w:rsidRPr="00580A33"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  <w:t>:</w:t>
      </w:r>
    </w:p>
    <w:p w14:paraId="0F9274AF" w14:textId="14895AA9" w:rsidR="00E75571" w:rsidRDefault="004B6F0A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Հանրապետության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 2020 թվականի ապրիլի 30-ի N 718-Ն որոշմամբ</w:t>
      </w:r>
      <w:r w:rsidR="001D543F" w:rsidRPr="00425E8A">
        <w:rPr>
          <w:lang w:val="hy-AM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հաստատվել են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2020 թվականի օգոստոսի 27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N 1437-Ն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2020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դեկտեմբեր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10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2046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մայի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սի 27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861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ումներով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լրացվել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են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ռողջապահական և աշխատանքի տեսչական մարմնի </w:t>
      </w:r>
      <w:r w:rsidR="006558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(այսուհետ</w:t>
      </w:r>
      <w:r w:rsidR="004E50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558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Տեսչական մարմին)</w:t>
      </w:r>
      <w:r w:rsidR="004220A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կողմից </w:t>
      </w:r>
      <w:r w:rsidR="00E75571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սանիտարահիգիենիկ և հակահամաճարակային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դեղերի շրջանառության և դեղագործական գործունեության,</w:t>
      </w:r>
      <w:r w:rsidR="00E755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75571" w:rsidRPr="00C75A55">
        <w:rPr>
          <w:rFonts w:ascii="GHEA Grapalat" w:eastAsia="Times New Roman" w:hAnsi="GHEA Grapalat"/>
          <w:b/>
          <w:bCs/>
          <w:i/>
          <w:sz w:val="24"/>
          <w:szCs w:val="24"/>
          <w:u w:val="single"/>
          <w:lang w:val="hy-AM" w:eastAsia="ru-RU"/>
        </w:rPr>
        <w:t>բժշկական օգնության և սպասարկման,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ինչպես նաև աշխատողների առողջության պահպանման և անվտանգության ապահովման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բնագավառներում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ստուգումների ստուգաթերթեր</w:t>
      </w:r>
      <w:r w:rsidR="003F219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որոնք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չեն ներառում 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մարմնի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երահսկողության ամբողջ շրջանակը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պարբերաբար անհրաժեշտություն է առաջանում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որոշման համապատասխան հավելվածներ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լրացնել առանձին բնագավառներ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վերահսկողությ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իրականացնելու վերաբերյալ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ստուգաթերթերով։</w:t>
      </w:r>
    </w:p>
    <w:p w14:paraId="009315A0" w14:textId="615FCC84" w:rsidR="00DB607E" w:rsidRDefault="00C75A5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ներկայացման պահանջը պայմանավորված է</w:t>
      </w:r>
      <w:r w:rsidR="00DB607E" w:rsidRP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B607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տ</w:t>
      </w:r>
      <w:r w:rsidR="00DB607E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եսչական մարմնի</w:t>
      </w:r>
      <w:r w:rsidR="00DB607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607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2022 թվականի տարեկան պլանային ստուգումների ցանկում ընդգրկված 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ընտանեկան բժշկություն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բժշկական օգնության և սպասարկման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տեսակի 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լիցենզիա ունեցող անձանց կողմից մատուցվող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ծառայությունների հետ։</w:t>
      </w:r>
      <w:r w:rsidR="002856EE" w:rsidRPr="002856E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>Լիցենզավորման ենթակա բ</w:t>
      </w:r>
      <w:r w:rsidR="00DB607E" w:rsidRPr="00AE3A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ժշկական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օգնության և սպասարկման տեսակների ցանկը համալրվել է նոր տեսակներով, որոնք արդեն կիրառելի են,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 xml:space="preserve">սակայն վերահսկողություն իրականացնել հնարավոր չէ, քանի որ ստուգաթերթով </w:t>
      </w:r>
      <w:r w:rsidR="00AD4F2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համապատասխան հարցեր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 չեն։</w:t>
      </w:r>
      <w:r w:rsidR="00DB607E" w:rsidRPr="002856E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Արդյունքում Տեսչական մարմինը ստուգումների ընթացքում բազմիցս առնչվել է </w:t>
      </w:r>
      <w:r w:rsidR="00DB607E" w:rsidRPr="00AE3A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իրավական ակտերով նախատեսված պահանջների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ստուգաթերթերում ներառված պարտադիր պահանջների անհամապատասխանությանը, ինչն էլ նվազեցնում է ոլորտների նկատմամբ արդյունավետ վերահսկողություն իրականացնելու հնարավորությունը, երբեմն էլ դարձնում անհնարին։ </w:t>
      </w:r>
    </w:p>
    <w:p w14:paraId="1F84F39E" w14:textId="77777777" w:rsidR="00E75571" w:rsidRDefault="004B6F0A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14:paraId="4A82B13D" w14:textId="77777777" w:rsidR="00DB607E" w:rsidRPr="0065583E" w:rsidRDefault="00DB607E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10D0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տուգաթերթերի հարցերը ձևավորվում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14:paraId="12D65DE2" w14:textId="3AF00774" w:rsidR="004B35C5" w:rsidRPr="006968C9" w:rsidRDefault="00DB607E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bookmarkStart w:id="0" w:name="_GoBack"/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4B6F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ախագծի ընդունման նպատակն է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հաստատել նոր խմբագրությամբ՝ </w:t>
      </w:r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Բժշկական օգնության և սպասարկման բնագավառում</w:t>
      </w:r>
      <w:r w:rsidR="006D7E9C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`</w:t>
      </w:r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Գյուղական բժշկական ամբուլատորիայում, գյուղական առողջության կենտրոնում, ընտանեկան </w:t>
      </w:r>
      <w:r w:rsidR="00494A0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ավագ </w:t>
      </w:r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բ</w:t>
      </w:r>
      <w:r w:rsidR="00494A0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ուժաշխատող</w:t>
      </w:r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ի գրասենյակում, բուժակ-մանկաբարձական կետերի կողմից տրամադրվող բժշկական օգնության և սպասարկման բնագավառի վերահսկողությ</w:t>
      </w:r>
      <w:r w:rsidR="009056A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ա</w:t>
      </w:r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ն</w:t>
      </w:r>
      <w:r w:rsidR="0085409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ստուգաթերթերը</w:t>
      </w:r>
      <w:bookmarkEnd w:id="0"/>
      <w:r w:rsidR="004B35C5" w:rsidRPr="006968C9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,</w:t>
      </w:r>
      <w:r w:rsidR="004B35C5" w:rsidRPr="006968C9">
        <w:rPr>
          <w:rFonts w:ascii="GHEA Grapalat" w:eastAsia="Times New Roman" w:hAnsi="GHEA Grapalat"/>
          <w:b/>
          <w:bCs/>
          <w:i/>
          <w:iCs/>
          <w:noProof/>
          <w:sz w:val="24"/>
          <w:szCs w:val="24"/>
          <w:lang w:val="hy-AM"/>
        </w:rPr>
        <w:t xml:space="preserve"> </w:t>
      </w:r>
      <w:r w:rsidR="004B35C5" w:rsidRPr="006968C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որն ընդգրկում է 7</w:t>
      </w:r>
      <w:r w:rsidR="00494A0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</w:t>
      </w:r>
      <w:r w:rsidR="004B35C5" w:rsidRPr="006968C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հարց:</w:t>
      </w:r>
    </w:p>
    <w:p w14:paraId="44DC7015" w14:textId="77777777" w:rsidR="00FD55DA" w:rsidRDefault="004B35C5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Ստուգաթերթի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հասցնել</w:t>
      </w:r>
      <w:r w:rsidR="006968C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մարդու կյանքին կամ առողջությանը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:</w:t>
      </w:r>
      <w:r w:rsidR="006968C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>Գործող ստուգաթերթերում ամրագրված են իրավական ակտերի մասեր, կետեր, ենթակետեր, որոնք արդեն ուժը կորցրած են ճանաչվել կամ փոփոխության են ենթարկվել։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Արդյունքում</w:t>
      </w:r>
      <w:r w:rsidR="00FD55DA" w:rsidRP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երահսկողական գործառույթների իրականացման ընթացքում  տեսչական մարմինը անդադար բախվում է վարչական ակտի  կայացման անհնարինության՝ չունենալով համապատասխան ոլորտի ստուգաթերթում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ներառված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վերոնշյալ տեսակին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 պահանջներ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ինչն էլ նվազեցնում է ոլորտի նկատմամբ արդյունավետ վերահսկողություն իրականացնելու հնարավորությունը։ </w:t>
      </w:r>
    </w:p>
    <w:p w14:paraId="57C4AC52" w14:textId="4FF44A62" w:rsidR="00DB607E" w:rsidRPr="004B35C5" w:rsidRDefault="00DB607E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 xml:space="preserve"> Հիմք ընդունելով վերոգրյալը՝ </w:t>
      </w:r>
      <w:r w:rsidRPr="00443C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անհրաժեշտություն է առաջացել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մշակելու բ</w:t>
      </w:r>
      <w:r w:rsidRPr="00102B81">
        <w:rPr>
          <w:rFonts w:ascii="GHEA Grapalat" w:eastAsia="Times New Roman" w:hAnsi="GHEA Grapalat" w:cs="GHEA Grapalat"/>
          <w:sz w:val="24"/>
          <w:szCs w:val="24"/>
          <w:lang w:val="hy-AM"/>
        </w:rPr>
        <w:t>ժշկական օգնության և սպասարկման բնագավառում «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Գյուղական բժշկական ամբուլատորիայում, գյուղական առողջության կենտրոնում, ընտանեկան </w:t>
      </w:r>
      <w:r w:rsidR="004231C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ավագ 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="004231C5">
        <w:rPr>
          <w:rFonts w:ascii="GHEA Grapalat" w:eastAsia="Times New Roman" w:hAnsi="GHEA Grapalat" w:cs="GHEA Grapalat"/>
          <w:sz w:val="24"/>
          <w:szCs w:val="24"/>
          <w:lang w:val="hy-AM"/>
        </w:rPr>
        <w:t>ուժաշխատող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ի գրասենյակում, բուժակ-մանկաբարձական կետ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երի 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կողմից տրամադրվող բժշկական օգնության և սպասարկման բնագավառի վերահսկողությ</w:t>
      </w:r>
      <w:r w:rsidR="009056A1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ն» թիվ N 3</w:t>
      </w:r>
      <w:r w:rsidRPr="0033577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ստուգաթերթ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ը, այն ներկայացնելով նոր խմբագրությամբ</w:t>
      </w:r>
      <w:r w:rsidRPr="004B35C5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1FC88AB0" w14:textId="77777777" w:rsidR="004B6F0A" w:rsidRDefault="000D1140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</w:p>
    <w:p w14:paraId="6B7D406D" w14:textId="77777777" w:rsidR="004B6F0A" w:rsidRDefault="004B6F0A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</w:p>
    <w:p w14:paraId="3F1D822B" w14:textId="77777777" w:rsidR="004B6F0A" w:rsidRDefault="000D1140" w:rsidP="00494A01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14:paraId="6A178D1A" w14:textId="77777777" w:rsidR="004B6F0A" w:rsidRDefault="004B6F0A" w:rsidP="00494A01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B70074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="004B35C5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ռողջապահական և աշխատանքի</w:t>
      </w:r>
      <w:r w:rsidR="004B35C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0074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տ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եսչական մարմնի</w:t>
      </w:r>
      <w:r w:rsidR="007F648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248D045A" w14:textId="77777777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2190FB97" w14:textId="77777777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2108DAC" w14:textId="77777777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6017D3B4" w14:textId="77777777" w:rsidR="00C95195" w:rsidRPr="009B594C" w:rsidRDefault="00C9519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6A7D80DC" w14:textId="0AA7FD13" w:rsidR="004B6F0A" w:rsidRDefault="00C95195" w:rsidP="00494A01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60EE1">
        <w:rPr>
          <w:rFonts w:ascii="GHEA Grapalat" w:hAnsi="GHEA Grapalat"/>
          <w:sz w:val="24"/>
          <w:lang w:val="hy-AM"/>
        </w:rPr>
        <w:t>Ն</w:t>
      </w:r>
      <w:r w:rsidR="00E60EE1"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="00E60EE1"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="00E60EE1" w:rsidRPr="00136E7F">
        <w:rPr>
          <w:rFonts w:ascii="GHEA Grapalat" w:hAnsi="GHEA Grapalat"/>
          <w:sz w:val="24"/>
          <w:lang w:val="hy-AM"/>
        </w:rPr>
        <w:t>։</w:t>
      </w:r>
    </w:p>
    <w:sectPr w:rsidR="004B6F0A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9748B"/>
    <w:rsid w:val="000A7804"/>
    <w:rsid w:val="000D1140"/>
    <w:rsid w:val="000D6E33"/>
    <w:rsid w:val="000E7E81"/>
    <w:rsid w:val="00102B81"/>
    <w:rsid w:val="0011213E"/>
    <w:rsid w:val="001222C1"/>
    <w:rsid w:val="00132DD0"/>
    <w:rsid w:val="00154130"/>
    <w:rsid w:val="001640F8"/>
    <w:rsid w:val="00173EDB"/>
    <w:rsid w:val="00175B3B"/>
    <w:rsid w:val="001D543F"/>
    <w:rsid w:val="00204BA0"/>
    <w:rsid w:val="002223A9"/>
    <w:rsid w:val="002856EE"/>
    <w:rsid w:val="00353C0A"/>
    <w:rsid w:val="00360346"/>
    <w:rsid w:val="00383BD8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A1A4D"/>
    <w:rsid w:val="004B35C5"/>
    <w:rsid w:val="004B6F0A"/>
    <w:rsid w:val="004E230E"/>
    <w:rsid w:val="004E4B69"/>
    <w:rsid w:val="004E500F"/>
    <w:rsid w:val="005106B7"/>
    <w:rsid w:val="005474E0"/>
    <w:rsid w:val="00580A33"/>
    <w:rsid w:val="005D19CD"/>
    <w:rsid w:val="005E3CE0"/>
    <w:rsid w:val="005E4272"/>
    <w:rsid w:val="005F4DD3"/>
    <w:rsid w:val="00601E68"/>
    <w:rsid w:val="00616624"/>
    <w:rsid w:val="00641304"/>
    <w:rsid w:val="0065583E"/>
    <w:rsid w:val="00662B06"/>
    <w:rsid w:val="006968C9"/>
    <w:rsid w:val="006B4940"/>
    <w:rsid w:val="006C3CC4"/>
    <w:rsid w:val="006D4664"/>
    <w:rsid w:val="006D7E9C"/>
    <w:rsid w:val="00714BE0"/>
    <w:rsid w:val="00715BA5"/>
    <w:rsid w:val="007215E5"/>
    <w:rsid w:val="00747F8F"/>
    <w:rsid w:val="0075170A"/>
    <w:rsid w:val="00792BFE"/>
    <w:rsid w:val="007C5A56"/>
    <w:rsid w:val="007F6485"/>
    <w:rsid w:val="007F693B"/>
    <w:rsid w:val="00800634"/>
    <w:rsid w:val="00801FD3"/>
    <w:rsid w:val="008137A8"/>
    <w:rsid w:val="00833476"/>
    <w:rsid w:val="00854099"/>
    <w:rsid w:val="008A564D"/>
    <w:rsid w:val="008E5805"/>
    <w:rsid w:val="009056A1"/>
    <w:rsid w:val="009138BA"/>
    <w:rsid w:val="00925DD8"/>
    <w:rsid w:val="009464BF"/>
    <w:rsid w:val="0097389F"/>
    <w:rsid w:val="00995F39"/>
    <w:rsid w:val="009B2386"/>
    <w:rsid w:val="009B3D97"/>
    <w:rsid w:val="009E23C0"/>
    <w:rsid w:val="009F6C3B"/>
    <w:rsid w:val="00A15A05"/>
    <w:rsid w:val="00A23F41"/>
    <w:rsid w:val="00A43EA1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70074"/>
    <w:rsid w:val="00BD258A"/>
    <w:rsid w:val="00C209B4"/>
    <w:rsid w:val="00C21520"/>
    <w:rsid w:val="00C25091"/>
    <w:rsid w:val="00C63A67"/>
    <w:rsid w:val="00C75A55"/>
    <w:rsid w:val="00C94D63"/>
    <w:rsid w:val="00C95195"/>
    <w:rsid w:val="00CA54E0"/>
    <w:rsid w:val="00CF6BB2"/>
    <w:rsid w:val="00D252A4"/>
    <w:rsid w:val="00D25A13"/>
    <w:rsid w:val="00D42A30"/>
    <w:rsid w:val="00DB607E"/>
    <w:rsid w:val="00E267F1"/>
    <w:rsid w:val="00E32830"/>
    <w:rsid w:val="00E510FC"/>
    <w:rsid w:val="00E60EE1"/>
    <w:rsid w:val="00E75571"/>
    <w:rsid w:val="00E87F3C"/>
    <w:rsid w:val="00EA5FA3"/>
    <w:rsid w:val="00EB0FBD"/>
    <w:rsid w:val="00EC2154"/>
    <w:rsid w:val="00F161CF"/>
    <w:rsid w:val="00F25BA7"/>
    <w:rsid w:val="00F2700B"/>
    <w:rsid w:val="00F57540"/>
    <w:rsid w:val="00F647E7"/>
    <w:rsid w:val="00F84366"/>
    <w:rsid w:val="00F85DB6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Vera Zurnachyan</cp:lastModifiedBy>
  <cp:revision>9</cp:revision>
  <dcterms:created xsi:type="dcterms:W3CDTF">2022-05-19T10:53:00Z</dcterms:created>
  <dcterms:modified xsi:type="dcterms:W3CDTF">2022-06-10T07:42:00Z</dcterms:modified>
</cp:coreProperties>
</file>