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172476">
      <w:pPr>
        <w:pStyle w:val="NoSpacing"/>
        <w:spacing w:line="360" w:lineRule="auto"/>
        <w:jc w:val="center"/>
        <w:outlineLvl w:val="0"/>
        <w:rPr>
          <w:rFonts w:ascii="GHEA Grapalat" w:hAnsi="GHEA Grapalat"/>
          <w:b/>
          <w:noProof/>
          <w:sz w:val="24"/>
          <w:lang w:val="hy-AM"/>
        </w:rPr>
      </w:pPr>
      <w:bookmarkStart w:id="0" w:name="_GoBack"/>
      <w:bookmarkEnd w:id="0"/>
      <w:r w:rsidRPr="004114E0">
        <w:rPr>
          <w:rFonts w:ascii="GHEA Grapalat" w:hAnsi="GHEA Grapalat"/>
          <w:b/>
          <w:noProof/>
          <w:sz w:val="24"/>
          <w:lang w:val="hy-AM"/>
        </w:rPr>
        <w:t>ՀԻՄՆԱՎՈՐՈՒՄ</w:t>
      </w:r>
    </w:p>
    <w:p w14:paraId="561C3A8E" w14:textId="77777777" w:rsidR="00811869" w:rsidRPr="004114E0" w:rsidRDefault="00811869" w:rsidP="00172476">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046635" w:rsidRPr="004114E0">
        <w:rPr>
          <w:rFonts w:ascii="GHEA Grapalat" w:hAnsi="GHEA Grapalat"/>
          <w:b/>
          <w:sz w:val="24"/>
          <w:lang w:val="hy-AM"/>
        </w:rPr>
        <w:t>ՓՈՓՈԽՈՒԹՅՈՒՆ</w:t>
      </w:r>
      <w:r w:rsidR="00EF7B7F" w:rsidRPr="004114E0">
        <w:rPr>
          <w:rFonts w:ascii="GHEA Grapalat" w:hAnsi="GHEA Grapalat"/>
          <w:b/>
          <w:sz w:val="24"/>
          <w:lang w:val="hy-AM"/>
        </w:rPr>
        <w:t>ՆԵՐ</w:t>
      </w:r>
      <w:r w:rsidR="00046635" w:rsidRPr="004114E0">
        <w:rPr>
          <w:rFonts w:ascii="GHEA Grapalat" w:hAnsi="GHEA Grapalat"/>
          <w:b/>
          <w:sz w:val="24"/>
          <w:lang w:val="hy-AM"/>
        </w:rPr>
        <w:t xml:space="preserve"> ԵՎ </w:t>
      </w:r>
      <w:r w:rsidR="00CB038A" w:rsidRPr="004114E0">
        <w:rPr>
          <w:rFonts w:ascii="GHEA Grapalat" w:hAnsi="GHEA Grapalat"/>
          <w:b/>
          <w:sz w:val="24"/>
          <w:lang w:val="hy-AM"/>
        </w:rPr>
        <w:t>ԼՐԱՑՈՒՄ</w:t>
      </w:r>
      <w:r w:rsidR="00EF7B7F" w:rsidRPr="004114E0">
        <w:rPr>
          <w:rFonts w:ascii="GHEA Grapalat" w:hAnsi="GHEA Grapalat"/>
          <w:b/>
          <w:sz w:val="24"/>
          <w:lang w:val="hy-AM"/>
        </w:rPr>
        <w:t>ՆԵՐ</w:t>
      </w:r>
      <w:r w:rsidR="00CB038A" w:rsidRPr="004114E0">
        <w:rPr>
          <w:rFonts w:ascii="GHEA Grapalat" w:hAnsi="GHEA Grapalat"/>
          <w:b/>
          <w:sz w:val="24"/>
          <w:lang w:val="hy-AM"/>
        </w:rPr>
        <w:t xml:space="preserve"> ԿԱՏԱՐԵԼՈՒ ՄԱՍԻՆ</w:t>
      </w:r>
      <w:r w:rsidRPr="004114E0">
        <w:rPr>
          <w:rFonts w:ascii="GHEA Grapalat" w:hAnsi="GHEA Grapalat"/>
          <w:b/>
          <w:sz w:val="24"/>
          <w:lang w:val="hy-AM"/>
        </w:rPr>
        <w:t>» ՀՀ ԿԱՌԱՎԱՐՈՒԹՅԱՆ ՈՐՈՇՄԱՆ ՆԱԽԱԳԾԻ</w:t>
      </w:r>
    </w:p>
    <w:p w14:paraId="13FF505A" w14:textId="77777777" w:rsidR="00CB038A" w:rsidRPr="004114E0" w:rsidRDefault="00811869" w:rsidP="00172476">
      <w:pPr>
        <w:pStyle w:val="NoSpacing"/>
        <w:spacing w:line="360" w:lineRule="auto"/>
        <w:jc w:val="center"/>
        <w:outlineLvl w:val="0"/>
        <w:rPr>
          <w:rFonts w:ascii="GHEA Grapalat" w:hAnsi="GHEA Grapalat"/>
          <w:b/>
          <w:sz w:val="24"/>
          <w:lang w:val="hy-AM"/>
        </w:rPr>
      </w:pPr>
      <w:r w:rsidRPr="004114E0">
        <w:rPr>
          <w:rFonts w:ascii="GHEA Grapalat" w:hAnsi="GHEA Grapalat"/>
          <w:b/>
          <w:sz w:val="24"/>
          <w:lang w:val="hy-AM"/>
        </w:rPr>
        <w:t>ՎԵՐԱԲԵՐՅԱԼ</w:t>
      </w:r>
    </w:p>
    <w:p w14:paraId="44BA3C5A" w14:textId="77777777" w:rsidR="00796B1F" w:rsidRPr="004114E0" w:rsidRDefault="00796B1F" w:rsidP="00172476">
      <w:pPr>
        <w:pStyle w:val="NoSpacing"/>
        <w:spacing w:line="360" w:lineRule="auto"/>
        <w:jc w:val="both"/>
        <w:rPr>
          <w:rFonts w:ascii="GHEA Grapalat" w:hAnsi="GHEA Grapalat"/>
          <w:noProof/>
          <w:color w:val="000000"/>
          <w:sz w:val="24"/>
          <w:lang w:val="hy-AM" w:eastAsia="en-GB"/>
        </w:rPr>
      </w:pPr>
    </w:p>
    <w:p w14:paraId="37AA1041" w14:textId="77777777" w:rsidR="00811869" w:rsidRPr="004114E0" w:rsidRDefault="00811869" w:rsidP="00172476">
      <w:pPr>
        <w:pStyle w:val="NoSpacing"/>
        <w:numPr>
          <w:ilvl w:val="0"/>
          <w:numId w:val="3"/>
        </w:numPr>
        <w:spacing w:line="360" w:lineRule="auto"/>
        <w:ind w:left="0" w:firstLine="284"/>
        <w:jc w:val="both"/>
        <w:rPr>
          <w:rFonts w:ascii="GHEA Grapalat" w:hAnsi="GHEA Grapalat"/>
          <w:b/>
          <w:sz w:val="24"/>
          <w:lang w:val="hy-AM"/>
        </w:rPr>
      </w:pPr>
      <w:r w:rsidRPr="004114E0">
        <w:rPr>
          <w:rFonts w:ascii="GHEA Grapalat" w:hAnsi="GHEA Grapalat" w:cs="Sylfaen"/>
          <w:b/>
          <w:sz w:val="24"/>
          <w:lang w:val="hy-AM"/>
        </w:rPr>
        <w:t>Իրավական</w:t>
      </w:r>
      <w:r w:rsidRPr="004114E0">
        <w:rPr>
          <w:rFonts w:ascii="GHEA Grapalat" w:hAnsi="GHEA Grapalat" w:cs="Times Armenian"/>
          <w:b/>
          <w:sz w:val="24"/>
          <w:lang w:val="hy-AM"/>
        </w:rPr>
        <w:t xml:space="preserve"> </w:t>
      </w:r>
      <w:r w:rsidRPr="004114E0">
        <w:rPr>
          <w:rFonts w:ascii="GHEA Grapalat" w:hAnsi="GHEA Grapalat" w:cs="Sylfaen"/>
          <w:b/>
          <w:sz w:val="24"/>
          <w:lang w:val="hy-AM"/>
        </w:rPr>
        <w:t>ակտի</w:t>
      </w:r>
      <w:r w:rsidRPr="004114E0">
        <w:rPr>
          <w:rFonts w:ascii="GHEA Grapalat" w:hAnsi="GHEA Grapalat" w:cs="Times Armenian"/>
          <w:b/>
          <w:sz w:val="24"/>
          <w:lang w:val="hy-AM"/>
        </w:rPr>
        <w:t xml:space="preserve"> </w:t>
      </w:r>
      <w:r w:rsidRPr="004114E0">
        <w:rPr>
          <w:rFonts w:ascii="GHEA Grapalat" w:hAnsi="GHEA Grapalat" w:cs="Sylfaen"/>
          <w:b/>
          <w:sz w:val="24"/>
          <w:lang w:val="hy-AM"/>
        </w:rPr>
        <w:t>անհրաժեշտությունը</w:t>
      </w:r>
      <w:r w:rsidRPr="004114E0">
        <w:rPr>
          <w:rFonts w:ascii="GHEA Grapalat" w:hAnsi="GHEA Grapalat"/>
          <w:b/>
          <w:sz w:val="24"/>
          <w:lang w:val="hy-AM"/>
        </w:rPr>
        <w:t>.</w:t>
      </w:r>
    </w:p>
    <w:p w14:paraId="3076D9BC" w14:textId="5B7E5151" w:rsidR="00921598" w:rsidRPr="004114E0" w:rsidRDefault="00921598" w:rsidP="00172476">
      <w:pPr>
        <w:pStyle w:val="NoSpacing"/>
        <w:spacing w:line="360" w:lineRule="auto"/>
        <w:ind w:firstLine="284"/>
        <w:jc w:val="both"/>
        <w:rPr>
          <w:rFonts w:ascii="GHEA Grapalat" w:hAnsi="GHEA Grapalat"/>
          <w:color w:val="000000"/>
          <w:sz w:val="24"/>
          <w:shd w:val="clear" w:color="auto" w:fill="FFFFFF"/>
          <w:lang w:val="hy-AM"/>
        </w:rPr>
      </w:pPr>
      <w:r w:rsidRPr="004114E0">
        <w:rPr>
          <w:rFonts w:ascii="GHEA Grapalat" w:hAnsi="GHEA Grapalat"/>
          <w:color w:val="000000"/>
          <w:sz w:val="24"/>
          <w:shd w:val="clear" w:color="auto" w:fill="FFFFFF"/>
          <w:lang w:val="hy-AM"/>
        </w:rPr>
        <w:t xml:space="preserve"> </w:t>
      </w:r>
      <w:r w:rsidR="00172476" w:rsidRPr="004114E0">
        <w:rPr>
          <w:rFonts w:ascii="GHEA Grapalat" w:hAnsi="GHEA Grapalat"/>
          <w:color w:val="000000"/>
          <w:sz w:val="24"/>
          <w:shd w:val="clear" w:color="auto" w:fill="FFFFFF"/>
          <w:lang w:val="hy-AM"/>
        </w:rPr>
        <w:t xml:space="preserve">  </w:t>
      </w:r>
      <w:r w:rsidRPr="004114E0">
        <w:rPr>
          <w:rFonts w:ascii="GHEA Grapalat" w:hAnsi="GHEA Grapalat"/>
          <w:color w:val="000000"/>
          <w:sz w:val="24"/>
          <w:shd w:val="clear" w:color="auto" w:fill="FFFFFF"/>
          <w:lang w:val="hy-AM"/>
        </w:rPr>
        <w:t xml:space="preserve">ՀՀ կառավարության 2015 թվականի հունվարի 30-ի թիվ 71-Ն որոշման հավելված </w:t>
      </w:r>
      <w:r w:rsidR="004114E0" w:rsidRPr="004114E0">
        <w:rPr>
          <w:rFonts w:ascii="GHEA Grapalat" w:hAnsi="GHEA Grapalat"/>
          <w:sz w:val="24"/>
          <w:lang w:val="hy-AM"/>
        </w:rPr>
        <w:t>N</w:t>
      </w:r>
      <w:r w:rsidR="004114E0" w:rsidRPr="004114E0">
        <w:rPr>
          <w:rFonts w:ascii="GHEA Grapalat" w:hAnsi="GHEA Grapalat"/>
          <w:color w:val="000000"/>
          <w:sz w:val="24"/>
          <w:shd w:val="clear" w:color="auto" w:fill="FFFFFF"/>
          <w:lang w:val="hy-AM"/>
        </w:rPr>
        <w:t xml:space="preserve"> </w:t>
      </w:r>
      <w:r w:rsidRPr="004114E0">
        <w:rPr>
          <w:rFonts w:ascii="GHEA Grapalat" w:hAnsi="GHEA Grapalat"/>
          <w:color w:val="000000"/>
          <w:sz w:val="24"/>
          <w:shd w:val="clear" w:color="auto" w:fill="FFFFFF"/>
          <w:lang w:val="hy-AM"/>
        </w:rPr>
        <w:t>2 4-րդ կետի համաձայն՝ Մաքսային միության հանձնաժողովի 2011 թվականի հոկտեմբերի 18-ի N 826 որոշմամբ հաստատված «Ավտոմոբիլային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(ՄՄ ՏԿ 013/2011) Մաքսային միության տեխնիկական կանոնակարգի (այսուհետ՝ Կանոնակարգ) պահանջների պահպանման նկատմամբ պետական վերահսկողու</w:t>
      </w:r>
      <w:r w:rsidR="00535133">
        <w:rPr>
          <w:rFonts w:ascii="GHEA Grapalat" w:hAnsi="GHEA Grapalat"/>
          <w:color w:val="000000"/>
          <w:sz w:val="24"/>
          <w:shd w:val="clear" w:color="auto" w:fill="FFFFFF"/>
          <w:lang w:val="hy-AM"/>
        </w:rPr>
        <w:t xml:space="preserve">թյուն իրականացնող լիազոր մարմին </w:t>
      </w:r>
      <w:r w:rsidRPr="004114E0">
        <w:rPr>
          <w:rFonts w:ascii="GHEA Grapalat" w:hAnsi="GHEA Grapalat"/>
          <w:color w:val="000000"/>
          <w:sz w:val="24"/>
          <w:shd w:val="clear" w:color="auto" w:fill="FFFFFF"/>
          <w:lang w:val="hy-AM"/>
        </w:rPr>
        <w:t xml:space="preserve">սահմանվել </w:t>
      </w:r>
      <w:r w:rsidR="00535133">
        <w:rPr>
          <w:rFonts w:ascii="GHEA Grapalat" w:hAnsi="GHEA Grapalat"/>
          <w:color w:val="000000"/>
          <w:sz w:val="24"/>
          <w:shd w:val="clear" w:color="auto" w:fill="FFFFFF"/>
          <w:lang w:val="hy-AM"/>
        </w:rPr>
        <w:t xml:space="preserve">է </w:t>
      </w:r>
      <w:r w:rsidRPr="004114E0">
        <w:rPr>
          <w:rFonts w:ascii="GHEA Grapalat" w:hAnsi="GHEA Grapalat"/>
          <w:color w:val="000000"/>
          <w:sz w:val="24"/>
          <w:shd w:val="clear" w:color="auto" w:fill="FFFFFF"/>
          <w:lang w:val="hy-AM"/>
        </w:rPr>
        <w:t>ՀՀ շուկայի վերահսկողության տեսչական մարմինը (այսուհետ՝ Տեսչական մարմին):</w:t>
      </w:r>
    </w:p>
    <w:p w14:paraId="08E96675" w14:textId="275CB7EC" w:rsidR="00921598" w:rsidRPr="004114E0" w:rsidRDefault="00C35B62" w:rsidP="00172476">
      <w:pPr>
        <w:pStyle w:val="NoSpacing"/>
        <w:spacing w:line="360" w:lineRule="auto"/>
        <w:ind w:firstLine="284"/>
        <w:jc w:val="both"/>
        <w:rPr>
          <w:rFonts w:ascii="GHEA Grapalat" w:hAnsi="GHEA Grapalat"/>
          <w:color w:val="000000"/>
          <w:sz w:val="24"/>
          <w:shd w:val="clear" w:color="auto" w:fill="FFFFFF"/>
          <w:lang w:val="hy-AM"/>
        </w:rPr>
      </w:pPr>
      <w:r w:rsidRPr="004114E0">
        <w:rPr>
          <w:rFonts w:ascii="GHEA Grapalat" w:hAnsi="GHEA Grapalat"/>
          <w:color w:val="000000"/>
          <w:sz w:val="24"/>
          <w:shd w:val="clear" w:color="auto" w:fill="FFFFFF"/>
          <w:lang w:val="hy-AM"/>
        </w:rPr>
        <w:t xml:space="preserve">     </w:t>
      </w:r>
      <w:r w:rsidR="00921598" w:rsidRPr="004114E0">
        <w:rPr>
          <w:rFonts w:ascii="GHEA Grapalat" w:hAnsi="GHEA Grapalat"/>
          <w:color w:val="000000"/>
          <w:sz w:val="24"/>
          <w:shd w:val="clear" w:color="auto" w:fill="FFFFFF"/>
          <w:lang w:val="hy-AM"/>
        </w:rPr>
        <w:t xml:space="preserve">«Հայաստանի Հանրապետությունում ստուգումների կազմակերպման և անցկացման մասին» օրենքի 3-րդ հոդվածի 1.1-րդ մասի համաձայն՝ </w:t>
      </w:r>
      <w:r w:rsidR="00D012F5" w:rsidRPr="004114E0">
        <w:rPr>
          <w:rFonts w:ascii="GHEA Grapalat" w:hAnsi="GHEA Grapalat"/>
          <w:color w:val="000000"/>
          <w:sz w:val="24"/>
          <w:shd w:val="clear" w:color="auto" w:fill="FFFFFF"/>
          <w:lang w:val="hy-AM"/>
        </w:rPr>
        <w:t>բ</w:t>
      </w:r>
      <w:r w:rsidR="00921598" w:rsidRPr="004114E0">
        <w:rPr>
          <w:rFonts w:ascii="GHEA Grapalat" w:hAnsi="GHEA Grapalat"/>
          <w:color w:val="000000"/>
          <w:sz w:val="24"/>
          <w:shd w:val="clear" w:color="auto" w:fill="FFFFFF"/>
          <w:lang w:val="hy-AM"/>
        </w:rPr>
        <w:t>ոլոր ստուգումները</w:t>
      </w:r>
      <w:r w:rsidR="00921598" w:rsidRPr="004114E0">
        <w:rPr>
          <w:rFonts w:ascii="Calibri" w:hAnsi="Calibri" w:cs="Calibri"/>
          <w:color w:val="000000"/>
          <w:sz w:val="24"/>
          <w:shd w:val="clear" w:color="auto" w:fill="FFFFFF"/>
          <w:lang w:val="hy-AM"/>
        </w:rPr>
        <w:t> </w:t>
      </w:r>
      <w:r w:rsidR="00921598" w:rsidRPr="004114E0">
        <w:rPr>
          <w:rFonts w:ascii="GHEA Grapalat" w:hAnsi="GHEA Grapalat"/>
          <w:color w:val="000000"/>
          <w:sz w:val="24"/>
          <w:shd w:val="clear" w:color="auto" w:fill="FFFFFF"/>
          <w:lang w:val="hy-AM"/>
        </w:rPr>
        <w:t xml:space="preserve">անցկացվում են բացառապես ստուգաթերթերի հիման վրա, որոնք հաստատում է Հայաստանի Հանրապետության կառավարությունը: </w:t>
      </w:r>
    </w:p>
    <w:p w14:paraId="3988F12D" w14:textId="5A9FB4E9" w:rsidR="00921598" w:rsidRPr="004114E0" w:rsidRDefault="00921598" w:rsidP="00172476">
      <w:pPr>
        <w:pStyle w:val="ListParagraph"/>
        <w:spacing w:line="360" w:lineRule="auto"/>
        <w:ind w:left="0" w:firstLine="284"/>
        <w:jc w:val="both"/>
        <w:rPr>
          <w:rFonts w:ascii="GHEA Grapalat" w:hAnsi="GHEA Grapalat"/>
          <w:color w:val="000000"/>
          <w:sz w:val="24"/>
          <w:szCs w:val="24"/>
          <w:shd w:val="clear" w:color="auto" w:fill="FFFFFF"/>
          <w:lang w:val="hy-AM"/>
        </w:rPr>
      </w:pPr>
      <w:r w:rsidRPr="004114E0">
        <w:rPr>
          <w:rFonts w:ascii="GHEA Grapalat" w:hAnsi="GHEA Grapalat"/>
          <w:color w:val="000000"/>
          <w:sz w:val="24"/>
          <w:szCs w:val="24"/>
          <w:shd w:val="clear" w:color="auto" w:fill="FFFFFF"/>
          <w:lang w:val="hy-AM"/>
        </w:rPr>
        <w:t xml:space="preserve"> </w:t>
      </w:r>
      <w:r w:rsidR="00C35B62" w:rsidRPr="004114E0">
        <w:rPr>
          <w:rFonts w:ascii="GHEA Grapalat" w:hAnsi="GHEA Grapalat"/>
          <w:color w:val="000000"/>
          <w:sz w:val="24"/>
          <w:szCs w:val="24"/>
          <w:shd w:val="clear" w:color="auto" w:fill="FFFFFF"/>
          <w:lang w:val="hy-AM"/>
        </w:rPr>
        <w:t xml:space="preserve">   </w:t>
      </w:r>
      <w:r w:rsidR="004D6957" w:rsidRPr="004114E0">
        <w:rPr>
          <w:rFonts w:ascii="GHEA Grapalat" w:hAnsi="GHEA Grapalat"/>
          <w:color w:val="000000"/>
          <w:sz w:val="24"/>
          <w:szCs w:val="24"/>
          <w:shd w:val="clear" w:color="auto" w:fill="FFFFFF"/>
          <w:lang w:val="hy-AM"/>
        </w:rPr>
        <w:t xml:space="preserve"> </w:t>
      </w:r>
      <w:r w:rsidR="00535133">
        <w:rPr>
          <w:rFonts w:ascii="GHEA Grapalat" w:hAnsi="GHEA Grapalat"/>
          <w:color w:val="000000"/>
          <w:sz w:val="24"/>
          <w:szCs w:val="24"/>
          <w:shd w:val="clear" w:color="auto" w:fill="FFFFFF"/>
          <w:lang w:val="hy-AM"/>
        </w:rPr>
        <w:t xml:space="preserve"> </w:t>
      </w:r>
      <w:r w:rsidR="004D6957" w:rsidRPr="004114E0">
        <w:rPr>
          <w:rFonts w:ascii="GHEA Grapalat" w:hAnsi="GHEA Grapalat"/>
          <w:color w:val="000000"/>
          <w:sz w:val="24"/>
          <w:szCs w:val="24"/>
          <w:shd w:val="clear" w:color="auto" w:fill="FFFFFF"/>
          <w:lang w:val="hy-AM"/>
        </w:rPr>
        <w:t xml:space="preserve">Տեսչական մարմինը իրականացնում է պետական վերահսկողություն </w:t>
      </w:r>
      <w:r w:rsidRPr="004114E0">
        <w:rPr>
          <w:rFonts w:ascii="GHEA Grapalat" w:hAnsi="GHEA Grapalat"/>
          <w:color w:val="000000"/>
          <w:sz w:val="24"/>
          <w:szCs w:val="24"/>
          <w:shd w:val="clear" w:color="auto" w:fill="FFFFFF"/>
          <w:lang w:val="hy-AM"/>
        </w:rPr>
        <w:t xml:space="preserve">Կանոնակարգի պահանջների պահպանման նկատմամբ ՀՀ կառավարության 2019 թվականի հունիսի 6-ի թիվ </w:t>
      </w:r>
      <w:r w:rsidR="00C35B62" w:rsidRPr="004114E0">
        <w:rPr>
          <w:rFonts w:ascii="GHEA Grapalat" w:hAnsi="GHEA Grapalat"/>
          <w:color w:val="000000"/>
          <w:sz w:val="24"/>
          <w:szCs w:val="24"/>
          <w:shd w:val="clear" w:color="auto" w:fill="FFFFFF"/>
          <w:lang w:val="hy-AM"/>
        </w:rPr>
        <w:t xml:space="preserve">730-Ն որոշման հավելված </w:t>
      </w:r>
      <w:r w:rsidR="00535133" w:rsidRPr="00535133">
        <w:rPr>
          <w:rFonts w:ascii="GHEA Grapalat" w:hAnsi="GHEA Grapalat"/>
          <w:sz w:val="24"/>
          <w:szCs w:val="24"/>
          <w:lang w:val="hy-AM"/>
        </w:rPr>
        <w:t>N</w:t>
      </w:r>
      <w:r w:rsidR="00535133" w:rsidRPr="00535133">
        <w:rPr>
          <w:rFonts w:ascii="GHEA Grapalat" w:hAnsi="GHEA Grapalat"/>
          <w:color w:val="000000"/>
          <w:sz w:val="24"/>
          <w:szCs w:val="24"/>
          <w:shd w:val="clear" w:color="auto" w:fill="FFFFFF"/>
          <w:lang w:val="hy-AM"/>
        </w:rPr>
        <w:t xml:space="preserve"> 3</w:t>
      </w:r>
      <w:r w:rsidR="004D32AA" w:rsidRPr="004114E0">
        <w:rPr>
          <w:rFonts w:ascii="GHEA Grapalat" w:hAnsi="GHEA Grapalat"/>
          <w:color w:val="000000"/>
          <w:sz w:val="24"/>
          <w:szCs w:val="24"/>
          <w:shd w:val="clear" w:color="auto" w:fill="FFFFFF"/>
          <w:lang w:val="hy-AM"/>
        </w:rPr>
        <w:t xml:space="preserve"> (այսուհետ՝ Որոշում)</w:t>
      </w:r>
      <w:r w:rsidR="00C35B62" w:rsidRPr="004114E0">
        <w:rPr>
          <w:rFonts w:ascii="GHEA Grapalat" w:hAnsi="GHEA Grapalat"/>
          <w:color w:val="000000"/>
          <w:sz w:val="24"/>
          <w:szCs w:val="24"/>
          <w:shd w:val="clear" w:color="auto" w:fill="FFFFFF"/>
          <w:lang w:val="hy-AM"/>
        </w:rPr>
        <w:t xml:space="preserve"> սահմանված ստուգաթերթի հիման վրա: Նշված </w:t>
      </w:r>
      <w:r w:rsidR="00D012F5" w:rsidRPr="004114E0">
        <w:rPr>
          <w:rFonts w:ascii="GHEA Grapalat" w:hAnsi="GHEA Grapalat"/>
          <w:color w:val="000000"/>
          <w:sz w:val="24"/>
          <w:szCs w:val="24"/>
          <w:shd w:val="clear" w:color="auto" w:fill="FFFFFF"/>
          <w:lang w:val="hy-AM"/>
        </w:rPr>
        <w:t>ստուգաթերթի</w:t>
      </w:r>
      <w:r w:rsidR="004114E0" w:rsidRPr="004114E0">
        <w:rPr>
          <w:rFonts w:ascii="GHEA Grapalat" w:hAnsi="GHEA Grapalat"/>
          <w:color w:val="000000"/>
          <w:sz w:val="24"/>
          <w:szCs w:val="24"/>
          <w:shd w:val="clear" w:color="auto" w:fill="FFFFFF"/>
          <w:lang w:val="hy-AM"/>
        </w:rPr>
        <w:t xml:space="preserve"> հարցաշարի</w:t>
      </w:r>
      <w:r w:rsidR="00D012F5" w:rsidRPr="004114E0">
        <w:rPr>
          <w:rFonts w:ascii="GHEA Grapalat" w:hAnsi="GHEA Grapalat"/>
          <w:color w:val="000000"/>
          <w:sz w:val="24"/>
          <w:szCs w:val="24"/>
          <w:shd w:val="clear" w:color="auto" w:fill="FFFFFF"/>
          <w:lang w:val="hy-AM"/>
        </w:rPr>
        <w:t xml:space="preserve"> </w:t>
      </w:r>
      <w:r w:rsidR="00C35B62" w:rsidRPr="004114E0">
        <w:rPr>
          <w:rFonts w:ascii="GHEA Grapalat" w:hAnsi="GHEA Grapalat"/>
          <w:color w:val="000000"/>
          <w:sz w:val="24"/>
          <w:szCs w:val="24"/>
          <w:shd w:val="clear" w:color="auto" w:fill="FFFFFF"/>
          <w:lang w:val="hy-AM"/>
        </w:rPr>
        <w:t xml:space="preserve">հարցերը նախատեսված են միայն </w:t>
      </w:r>
      <w:r w:rsidR="00C35B62" w:rsidRPr="004114E0">
        <w:rPr>
          <w:rFonts w:ascii="GHEA Grapalat" w:hAnsi="GHEA Grapalat"/>
          <w:bCs/>
          <w:color w:val="000000"/>
          <w:sz w:val="24"/>
          <w:szCs w:val="24"/>
          <w:shd w:val="clear" w:color="auto" w:fill="FFFFFF"/>
          <w:lang w:val="hy-AM"/>
        </w:rPr>
        <w:t>ավտոմոբիլային բենզինի, դիզելային վառելիքի և մազութի ստուգման համար</w:t>
      </w:r>
      <w:r w:rsidR="00D012F5" w:rsidRPr="004114E0">
        <w:rPr>
          <w:rFonts w:ascii="GHEA Grapalat" w:hAnsi="GHEA Grapalat"/>
          <w:bCs/>
          <w:color w:val="000000"/>
          <w:sz w:val="24"/>
          <w:szCs w:val="24"/>
          <w:shd w:val="clear" w:color="auto" w:fill="FFFFFF"/>
          <w:lang w:val="hy-AM"/>
        </w:rPr>
        <w:t xml:space="preserve">: </w:t>
      </w:r>
      <w:r w:rsidR="00D012F5" w:rsidRPr="004114E0">
        <w:rPr>
          <w:rFonts w:ascii="GHEA Grapalat" w:hAnsi="GHEA Grapalat"/>
          <w:bCs/>
          <w:color w:val="000000"/>
          <w:sz w:val="24"/>
          <w:szCs w:val="24"/>
          <w:shd w:val="clear" w:color="auto" w:fill="FFFFFF"/>
          <w:lang w:val="hy-AM"/>
        </w:rPr>
        <w:br/>
        <w:t xml:space="preserve">        Հաշվի առնելով վերոգրյալը, և </w:t>
      </w:r>
      <w:r w:rsidR="004D6957" w:rsidRPr="004114E0">
        <w:rPr>
          <w:rFonts w:ascii="GHEA Grapalat" w:hAnsi="GHEA Grapalat"/>
          <w:bCs/>
          <w:color w:val="000000"/>
          <w:sz w:val="24"/>
          <w:szCs w:val="24"/>
          <w:shd w:val="clear" w:color="auto" w:fill="FFFFFF"/>
          <w:lang w:val="hy-AM"/>
        </w:rPr>
        <w:t xml:space="preserve">այն հանգամանքը, որ </w:t>
      </w:r>
      <w:r w:rsidR="00C35B62" w:rsidRPr="004114E0">
        <w:rPr>
          <w:rFonts w:ascii="GHEA Grapalat" w:hAnsi="GHEA Grapalat"/>
          <w:bCs/>
          <w:color w:val="000000"/>
          <w:sz w:val="24"/>
          <w:szCs w:val="24"/>
          <w:shd w:val="clear" w:color="auto" w:fill="FFFFFF"/>
          <w:lang w:val="hy-AM"/>
        </w:rPr>
        <w:t>Տեսչական մարմնի կողմից 2022 թվականի ընթացքում իրականացվելիք ստուգումների ծրագ</w:t>
      </w:r>
      <w:r w:rsidR="004D6957" w:rsidRPr="004114E0">
        <w:rPr>
          <w:rFonts w:ascii="GHEA Grapalat" w:hAnsi="GHEA Grapalat"/>
          <w:bCs/>
          <w:color w:val="000000"/>
          <w:sz w:val="24"/>
          <w:szCs w:val="24"/>
          <w:shd w:val="clear" w:color="auto" w:fill="FFFFFF"/>
          <w:lang w:val="hy-AM"/>
        </w:rPr>
        <w:t xml:space="preserve">րում </w:t>
      </w:r>
      <w:r w:rsidR="004D6957" w:rsidRPr="004114E0">
        <w:rPr>
          <w:rFonts w:ascii="GHEA Grapalat" w:hAnsi="GHEA Grapalat" w:cs="Sylfaen"/>
          <w:sz w:val="24"/>
          <w:szCs w:val="24"/>
          <w:lang w:val="hy-AM"/>
        </w:rPr>
        <w:t>ռեակտիվ շարժիչների և ավիացիոն բենզինի</w:t>
      </w:r>
      <w:r w:rsidR="004D6957" w:rsidRPr="004114E0">
        <w:rPr>
          <w:rFonts w:ascii="GHEA Grapalat" w:hAnsi="GHEA Grapalat"/>
          <w:bCs/>
          <w:color w:val="000000"/>
          <w:sz w:val="24"/>
          <w:szCs w:val="24"/>
          <w:shd w:val="clear" w:color="auto" w:fill="FFFFFF"/>
          <w:lang w:val="hy-AM"/>
        </w:rPr>
        <w:t xml:space="preserve"> ոլորտում գործունեություն իրականացնող տնտեսավար</w:t>
      </w:r>
      <w:r w:rsidR="004114E0" w:rsidRPr="004114E0">
        <w:rPr>
          <w:rFonts w:ascii="GHEA Grapalat" w:hAnsi="GHEA Grapalat"/>
          <w:bCs/>
          <w:color w:val="000000"/>
          <w:sz w:val="24"/>
          <w:szCs w:val="24"/>
          <w:shd w:val="clear" w:color="auto" w:fill="FFFFFF"/>
          <w:lang w:val="hy-AM"/>
        </w:rPr>
        <w:t>ող</w:t>
      </w:r>
      <w:r w:rsidR="004D6957" w:rsidRPr="004114E0">
        <w:rPr>
          <w:rFonts w:ascii="GHEA Grapalat" w:hAnsi="GHEA Grapalat"/>
          <w:bCs/>
          <w:color w:val="000000"/>
          <w:sz w:val="24"/>
          <w:szCs w:val="24"/>
          <w:shd w:val="clear" w:color="auto" w:fill="FFFFFF"/>
          <w:lang w:val="hy-AM"/>
        </w:rPr>
        <w:t xml:space="preserve">ներ արդեն իսկ ներառված են, </w:t>
      </w:r>
      <w:r w:rsidR="00C35B62" w:rsidRPr="004114E0">
        <w:rPr>
          <w:rFonts w:ascii="GHEA Grapalat" w:hAnsi="GHEA Grapalat"/>
          <w:bCs/>
          <w:color w:val="000000"/>
          <w:sz w:val="24"/>
          <w:szCs w:val="24"/>
          <w:shd w:val="clear" w:color="auto" w:fill="FFFFFF"/>
          <w:lang w:val="hy-AM"/>
        </w:rPr>
        <w:t>անհրաժե</w:t>
      </w:r>
      <w:r w:rsidR="004114E0" w:rsidRPr="004114E0">
        <w:rPr>
          <w:rFonts w:ascii="GHEA Grapalat" w:hAnsi="GHEA Grapalat"/>
          <w:bCs/>
          <w:color w:val="000000"/>
          <w:sz w:val="24"/>
          <w:szCs w:val="24"/>
          <w:shd w:val="clear" w:color="auto" w:fill="FFFFFF"/>
          <w:lang w:val="hy-AM"/>
        </w:rPr>
        <w:t>շ</w:t>
      </w:r>
      <w:r w:rsidR="00C35B62" w:rsidRPr="004114E0">
        <w:rPr>
          <w:rFonts w:ascii="GHEA Grapalat" w:hAnsi="GHEA Grapalat"/>
          <w:bCs/>
          <w:color w:val="000000"/>
          <w:sz w:val="24"/>
          <w:szCs w:val="24"/>
          <w:shd w:val="clear" w:color="auto" w:fill="FFFFFF"/>
          <w:lang w:val="hy-AM"/>
        </w:rPr>
        <w:t xml:space="preserve">տություն է առաջացել </w:t>
      </w:r>
      <w:r w:rsidR="004D6957" w:rsidRPr="004114E0">
        <w:rPr>
          <w:rFonts w:ascii="GHEA Grapalat" w:hAnsi="GHEA Grapalat"/>
          <w:bCs/>
          <w:color w:val="000000"/>
          <w:sz w:val="24"/>
          <w:szCs w:val="24"/>
          <w:shd w:val="clear" w:color="auto" w:fill="FFFFFF"/>
          <w:lang w:val="hy-AM"/>
        </w:rPr>
        <w:t>Որոշմամբ հաստատ</w:t>
      </w:r>
      <w:r w:rsidR="004114E0" w:rsidRPr="004114E0">
        <w:rPr>
          <w:rFonts w:ascii="GHEA Grapalat" w:hAnsi="GHEA Grapalat"/>
          <w:bCs/>
          <w:color w:val="000000"/>
          <w:sz w:val="24"/>
          <w:szCs w:val="24"/>
          <w:shd w:val="clear" w:color="auto" w:fill="FFFFFF"/>
          <w:lang w:val="hy-AM"/>
        </w:rPr>
        <w:t>ված</w:t>
      </w:r>
      <w:r w:rsidR="004D6957" w:rsidRPr="004114E0">
        <w:rPr>
          <w:rFonts w:ascii="GHEA Grapalat" w:hAnsi="GHEA Grapalat"/>
          <w:bCs/>
          <w:color w:val="000000"/>
          <w:sz w:val="24"/>
          <w:szCs w:val="24"/>
          <w:shd w:val="clear" w:color="auto" w:fill="FFFFFF"/>
          <w:lang w:val="hy-AM"/>
        </w:rPr>
        <w:t xml:space="preserve"> </w:t>
      </w:r>
      <w:r w:rsidR="004D6957" w:rsidRPr="004114E0">
        <w:rPr>
          <w:rFonts w:ascii="GHEA Grapalat" w:hAnsi="GHEA Grapalat"/>
          <w:bCs/>
          <w:color w:val="000000"/>
          <w:sz w:val="24"/>
          <w:szCs w:val="24"/>
          <w:shd w:val="clear" w:color="auto" w:fill="FFFFFF"/>
          <w:lang w:val="hy-AM"/>
        </w:rPr>
        <w:lastRenderedPageBreak/>
        <w:t>ստուգաթերթ</w:t>
      </w:r>
      <w:r w:rsidR="004114E0" w:rsidRPr="004114E0">
        <w:rPr>
          <w:rFonts w:ascii="GHEA Grapalat" w:hAnsi="GHEA Grapalat"/>
          <w:bCs/>
          <w:color w:val="000000"/>
          <w:sz w:val="24"/>
          <w:szCs w:val="24"/>
          <w:shd w:val="clear" w:color="auto" w:fill="FFFFFF"/>
          <w:lang w:val="hy-AM"/>
        </w:rPr>
        <w:t>ում սահմանել համապատասխան հարցեր</w:t>
      </w:r>
      <w:r w:rsidR="004D6957" w:rsidRPr="004114E0">
        <w:rPr>
          <w:rFonts w:ascii="GHEA Grapalat" w:hAnsi="GHEA Grapalat"/>
          <w:bCs/>
          <w:color w:val="000000"/>
          <w:sz w:val="24"/>
          <w:szCs w:val="24"/>
          <w:shd w:val="clear" w:color="auto" w:fill="FFFFFF"/>
          <w:lang w:val="hy-AM"/>
        </w:rPr>
        <w:t xml:space="preserve">՝ </w:t>
      </w:r>
      <w:r w:rsidR="004D6957" w:rsidRPr="004114E0">
        <w:rPr>
          <w:rFonts w:ascii="GHEA Grapalat" w:hAnsi="GHEA Grapalat" w:cs="Sylfaen"/>
          <w:sz w:val="24"/>
          <w:szCs w:val="24"/>
          <w:lang w:val="hy-AM"/>
        </w:rPr>
        <w:t xml:space="preserve">ռեակտիվ շարժիչների և ավիացիոն բենզինի նկատմամբ </w:t>
      </w:r>
      <w:r w:rsidR="004114E0" w:rsidRPr="004114E0">
        <w:rPr>
          <w:rFonts w:ascii="GHEA Grapalat" w:hAnsi="GHEA Grapalat" w:cs="Sylfaen"/>
          <w:sz w:val="24"/>
          <w:szCs w:val="24"/>
          <w:lang w:val="hy-AM"/>
        </w:rPr>
        <w:t>ներկայացվ</w:t>
      </w:r>
      <w:r w:rsidR="00535133">
        <w:rPr>
          <w:rFonts w:ascii="GHEA Grapalat" w:hAnsi="GHEA Grapalat" w:cs="Sylfaen"/>
          <w:sz w:val="24"/>
          <w:szCs w:val="24"/>
          <w:lang w:val="hy-AM"/>
        </w:rPr>
        <w:t>ող</w:t>
      </w:r>
      <w:r w:rsidR="004114E0" w:rsidRPr="004114E0">
        <w:rPr>
          <w:rFonts w:ascii="GHEA Grapalat" w:hAnsi="GHEA Grapalat" w:cs="Sylfaen"/>
          <w:sz w:val="24"/>
          <w:szCs w:val="24"/>
          <w:lang w:val="hy-AM"/>
        </w:rPr>
        <w:t xml:space="preserve"> </w:t>
      </w:r>
      <w:r w:rsidR="004D6957" w:rsidRPr="004114E0">
        <w:rPr>
          <w:rFonts w:ascii="GHEA Grapalat" w:hAnsi="GHEA Grapalat" w:cs="Sylfaen"/>
          <w:sz w:val="24"/>
          <w:szCs w:val="24"/>
          <w:lang w:val="hy-AM"/>
        </w:rPr>
        <w:t>պահանջների ստուգման համար</w:t>
      </w:r>
      <w:r w:rsidR="00C35B62" w:rsidRPr="004114E0">
        <w:rPr>
          <w:rFonts w:ascii="GHEA Grapalat" w:hAnsi="GHEA Grapalat" w:cs="Sylfaen"/>
          <w:sz w:val="24"/>
          <w:szCs w:val="24"/>
          <w:lang w:val="hy-AM"/>
        </w:rPr>
        <w:t xml:space="preserve">: </w:t>
      </w:r>
    </w:p>
    <w:p w14:paraId="516FA4EB" w14:textId="7E262CD5" w:rsidR="00FC1976" w:rsidRPr="004114E0" w:rsidRDefault="00FC1976" w:rsidP="00172476">
      <w:pPr>
        <w:pStyle w:val="NoSpacing"/>
        <w:spacing w:line="360" w:lineRule="auto"/>
        <w:jc w:val="both"/>
        <w:rPr>
          <w:rFonts w:ascii="GHEA Grapalat" w:hAnsi="GHEA Grapalat"/>
          <w:color w:val="000000"/>
          <w:sz w:val="24"/>
          <w:shd w:val="clear" w:color="auto" w:fill="FFFFFF"/>
          <w:lang w:val="hy-AM"/>
        </w:rPr>
      </w:pPr>
    </w:p>
    <w:p w14:paraId="439AAA88" w14:textId="77777777" w:rsidR="00811869" w:rsidRPr="004114E0" w:rsidRDefault="00811869"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Ընթացիկ իրավիճակը և խնդիրները.</w:t>
      </w:r>
    </w:p>
    <w:p w14:paraId="1F8CEABE" w14:textId="09792E84" w:rsidR="0090412A" w:rsidRPr="004114E0" w:rsidRDefault="0045102B" w:rsidP="00172476">
      <w:pPr>
        <w:pStyle w:val="NoSpacing"/>
        <w:spacing w:line="360" w:lineRule="auto"/>
        <w:jc w:val="both"/>
        <w:rPr>
          <w:rFonts w:ascii="GHEA Grapalat" w:hAnsi="GHEA Grapalat"/>
          <w:color w:val="000000"/>
          <w:sz w:val="24"/>
          <w:shd w:val="clear" w:color="auto" w:fill="FFFFFF"/>
          <w:lang w:val="hy-AM"/>
        </w:rPr>
      </w:pPr>
      <w:r w:rsidRPr="004114E0">
        <w:rPr>
          <w:rFonts w:ascii="GHEA Grapalat" w:hAnsi="GHEA Grapalat"/>
          <w:color w:val="000000"/>
          <w:sz w:val="24"/>
          <w:shd w:val="clear" w:color="auto" w:fill="FFFFFF"/>
          <w:lang w:val="hy-AM"/>
        </w:rPr>
        <w:t xml:space="preserve">          </w:t>
      </w:r>
      <w:r w:rsidR="00AB4BB8" w:rsidRPr="004114E0">
        <w:rPr>
          <w:rFonts w:ascii="GHEA Grapalat" w:hAnsi="GHEA Grapalat"/>
          <w:color w:val="000000"/>
          <w:sz w:val="24"/>
          <w:shd w:val="clear" w:color="auto" w:fill="FFFFFF"/>
          <w:lang w:val="hy-AM"/>
        </w:rPr>
        <w:t>Ո</w:t>
      </w:r>
      <w:r w:rsidR="00E724D5" w:rsidRPr="004114E0">
        <w:rPr>
          <w:rFonts w:ascii="GHEA Grapalat" w:hAnsi="GHEA Grapalat"/>
          <w:color w:val="000000"/>
          <w:sz w:val="24"/>
          <w:shd w:val="clear" w:color="auto" w:fill="FFFFFF"/>
          <w:lang w:val="hy-AM"/>
        </w:rPr>
        <w:t>րոշմամբ հաստատված ստուգաթերթով</w:t>
      </w:r>
      <w:r w:rsidR="007B1390" w:rsidRPr="004114E0">
        <w:rPr>
          <w:rFonts w:ascii="GHEA Grapalat" w:hAnsi="GHEA Grapalat"/>
          <w:color w:val="000000"/>
          <w:sz w:val="24"/>
          <w:shd w:val="clear" w:color="auto" w:fill="FFFFFF"/>
          <w:lang w:val="hy-AM"/>
        </w:rPr>
        <w:t xml:space="preserve"> </w:t>
      </w:r>
      <w:r w:rsidR="00E724D5" w:rsidRPr="004114E0">
        <w:rPr>
          <w:rFonts w:ascii="GHEA Grapalat" w:hAnsi="GHEA Grapalat"/>
          <w:bCs w:val="0"/>
          <w:color w:val="000000"/>
          <w:sz w:val="24"/>
          <w:shd w:val="clear" w:color="auto" w:fill="FFFFFF"/>
          <w:lang w:val="hy-AM"/>
        </w:rPr>
        <w:t xml:space="preserve">Տեսչական մարմինը </w:t>
      </w:r>
      <w:r w:rsidR="004114E0" w:rsidRPr="004114E0">
        <w:rPr>
          <w:rFonts w:ascii="GHEA Grapalat" w:hAnsi="GHEA Grapalat"/>
          <w:bCs w:val="0"/>
          <w:color w:val="000000"/>
          <w:sz w:val="24"/>
          <w:shd w:val="clear" w:color="auto" w:fill="FFFFFF"/>
          <w:lang w:val="hy-AM"/>
        </w:rPr>
        <w:t xml:space="preserve">պետական </w:t>
      </w:r>
      <w:r w:rsidR="00E724D5" w:rsidRPr="004114E0">
        <w:rPr>
          <w:rFonts w:ascii="GHEA Grapalat" w:hAnsi="GHEA Grapalat"/>
          <w:bCs w:val="0"/>
          <w:color w:val="000000"/>
          <w:sz w:val="24"/>
          <w:shd w:val="clear" w:color="auto" w:fill="FFFFFF"/>
          <w:lang w:val="hy-AM"/>
        </w:rPr>
        <w:t xml:space="preserve">վերահսկողություն է </w:t>
      </w:r>
      <w:r w:rsidR="003E5B65" w:rsidRPr="004114E0">
        <w:rPr>
          <w:rFonts w:ascii="GHEA Grapalat" w:hAnsi="GHEA Grapalat"/>
          <w:bCs w:val="0"/>
          <w:color w:val="000000"/>
          <w:sz w:val="24"/>
          <w:shd w:val="clear" w:color="auto" w:fill="FFFFFF"/>
          <w:lang w:val="hy-AM"/>
        </w:rPr>
        <w:t xml:space="preserve">իրականացնում </w:t>
      </w:r>
      <w:r w:rsidR="00AB4BB8" w:rsidRPr="004114E0">
        <w:rPr>
          <w:rFonts w:ascii="GHEA Grapalat" w:hAnsi="GHEA Grapalat"/>
          <w:bCs w:val="0"/>
          <w:color w:val="000000"/>
          <w:sz w:val="24"/>
          <w:shd w:val="clear" w:color="auto" w:fill="FFFFFF"/>
          <w:lang w:val="hy-AM"/>
        </w:rPr>
        <w:t xml:space="preserve"> միայն ավտոմոբիլային բենզինի, դիզելային վառելիքի և մազութի նկատմամբ, մինչդեռ </w:t>
      </w:r>
      <w:r w:rsidR="00AB4BB8" w:rsidRPr="004114E0">
        <w:rPr>
          <w:rFonts w:ascii="GHEA Grapalat" w:hAnsi="GHEA Grapalat" w:cs="Sylfaen"/>
          <w:sz w:val="24"/>
          <w:lang w:val="hy-AM"/>
        </w:rPr>
        <w:t xml:space="preserve">ռեակտիվ շարժիչների և ավիացիոն բենզինի նկատմամբ </w:t>
      </w:r>
      <w:r w:rsidR="004114E0" w:rsidRPr="004114E0">
        <w:rPr>
          <w:rFonts w:ascii="GHEA Grapalat" w:hAnsi="GHEA Grapalat" w:cs="Sylfaen"/>
          <w:sz w:val="24"/>
          <w:lang w:val="hy-AM"/>
        </w:rPr>
        <w:t>ներկայացվ</w:t>
      </w:r>
      <w:r w:rsidR="00535133">
        <w:rPr>
          <w:rFonts w:ascii="GHEA Grapalat" w:hAnsi="GHEA Grapalat" w:cs="Sylfaen"/>
          <w:sz w:val="24"/>
          <w:lang w:val="hy-AM"/>
        </w:rPr>
        <w:t>ող</w:t>
      </w:r>
      <w:r w:rsidR="004114E0" w:rsidRPr="004114E0">
        <w:rPr>
          <w:rFonts w:ascii="GHEA Grapalat" w:hAnsi="GHEA Grapalat" w:cs="Sylfaen"/>
          <w:sz w:val="24"/>
          <w:lang w:val="hy-AM"/>
        </w:rPr>
        <w:t xml:space="preserve"> պահանջների ստուգում </w:t>
      </w:r>
      <w:r w:rsidR="00AB4BB8" w:rsidRPr="004114E0">
        <w:rPr>
          <w:rFonts w:ascii="GHEA Grapalat" w:hAnsi="GHEA Grapalat" w:cs="Sylfaen"/>
          <w:sz w:val="24"/>
          <w:lang w:val="hy-AM"/>
        </w:rPr>
        <w:t>Տեսչակա</w:t>
      </w:r>
      <w:r w:rsidR="004114E0" w:rsidRPr="004114E0">
        <w:rPr>
          <w:rFonts w:ascii="GHEA Grapalat" w:hAnsi="GHEA Grapalat" w:cs="Sylfaen"/>
          <w:sz w:val="24"/>
          <w:lang w:val="hy-AM"/>
        </w:rPr>
        <w:t>ն մարմնի կողմից չի իրականացվում</w:t>
      </w:r>
      <w:r w:rsidR="00AB4BB8" w:rsidRPr="004114E0">
        <w:rPr>
          <w:rFonts w:ascii="GHEA Grapalat" w:hAnsi="GHEA Grapalat" w:cs="Sylfaen"/>
          <w:sz w:val="24"/>
          <w:lang w:val="hy-AM"/>
        </w:rPr>
        <w:t xml:space="preserve">: </w:t>
      </w:r>
    </w:p>
    <w:p w14:paraId="66895BCE" w14:textId="77777777" w:rsidR="0090412A" w:rsidRPr="004114E0" w:rsidRDefault="0090412A" w:rsidP="00172476">
      <w:pPr>
        <w:pStyle w:val="NoSpacing"/>
        <w:spacing w:line="360" w:lineRule="auto"/>
        <w:jc w:val="both"/>
        <w:rPr>
          <w:rFonts w:ascii="GHEA Grapalat" w:hAnsi="GHEA Grapalat"/>
          <w:color w:val="000000"/>
          <w:sz w:val="24"/>
          <w:shd w:val="clear" w:color="auto" w:fill="FFFFFF"/>
          <w:lang w:val="hy-AM"/>
        </w:rPr>
      </w:pPr>
    </w:p>
    <w:p w14:paraId="3E93D217" w14:textId="77777777" w:rsidR="00811869" w:rsidRPr="004114E0" w:rsidRDefault="00811869"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Կարգավորման նպատակը և բնույթը.</w:t>
      </w:r>
    </w:p>
    <w:p w14:paraId="123ADBE3" w14:textId="0474960A" w:rsidR="00172476" w:rsidRPr="004114E0" w:rsidRDefault="00136966" w:rsidP="00172476">
      <w:pPr>
        <w:pStyle w:val="NoSpacing"/>
        <w:spacing w:line="360" w:lineRule="auto"/>
        <w:ind w:firstLine="284"/>
        <w:jc w:val="both"/>
        <w:rPr>
          <w:rFonts w:ascii="GHEA Grapalat" w:hAnsi="GHEA Grapalat"/>
          <w:color w:val="000000"/>
          <w:sz w:val="24"/>
          <w:lang w:val="hy-AM"/>
        </w:rPr>
      </w:pPr>
      <w:r w:rsidRPr="004114E0">
        <w:rPr>
          <w:rFonts w:ascii="GHEA Grapalat" w:hAnsi="GHEA Grapalat"/>
          <w:noProof/>
          <w:sz w:val="24"/>
          <w:lang w:val="hy-AM"/>
        </w:rPr>
        <w:t xml:space="preserve"> </w:t>
      </w:r>
      <w:r w:rsidR="00772F4F" w:rsidRPr="004114E0">
        <w:rPr>
          <w:rFonts w:ascii="GHEA Grapalat" w:hAnsi="GHEA Grapalat"/>
          <w:noProof/>
          <w:sz w:val="24"/>
          <w:lang w:val="hy-AM"/>
        </w:rPr>
        <w:t>Նախագծի ընդունման նպատակն է</w:t>
      </w:r>
      <w:r w:rsidR="00AB4BB8" w:rsidRPr="004114E0">
        <w:rPr>
          <w:rFonts w:ascii="GHEA Grapalat" w:hAnsi="GHEA Grapalat"/>
          <w:noProof/>
          <w:sz w:val="24"/>
          <w:lang w:val="hy-AM"/>
        </w:rPr>
        <w:t xml:space="preserve"> </w:t>
      </w:r>
      <w:r w:rsidR="00BC31DE" w:rsidRPr="004114E0">
        <w:rPr>
          <w:rFonts w:ascii="GHEA Grapalat" w:hAnsi="GHEA Grapalat"/>
          <w:noProof/>
          <w:sz w:val="24"/>
          <w:lang w:val="hy-AM"/>
        </w:rPr>
        <w:t>Տ</w:t>
      </w:r>
      <w:r w:rsidR="00772F4F" w:rsidRPr="004114E0">
        <w:rPr>
          <w:rFonts w:ascii="GHEA Grapalat" w:hAnsi="GHEA Grapalat" w:cs="GHEA Grapalat"/>
          <w:noProof/>
          <w:sz w:val="24"/>
          <w:lang w:val="hy-AM"/>
        </w:rPr>
        <w:t xml:space="preserve">եսչական մարմնի կողմից </w:t>
      </w:r>
      <w:r w:rsidR="00B22F47" w:rsidRPr="004114E0">
        <w:rPr>
          <w:rFonts w:ascii="GHEA Grapalat" w:hAnsi="GHEA Grapalat"/>
          <w:color w:val="000000"/>
          <w:sz w:val="24"/>
          <w:shd w:val="clear" w:color="auto" w:fill="FFFFFF"/>
          <w:lang w:val="hy-AM"/>
        </w:rPr>
        <w:t>իրականացվող</w:t>
      </w:r>
      <w:r w:rsidR="00AB4BB8" w:rsidRPr="004114E0">
        <w:rPr>
          <w:rFonts w:ascii="GHEA Grapalat" w:hAnsi="GHEA Grapalat"/>
          <w:color w:val="000000"/>
          <w:sz w:val="24"/>
          <w:shd w:val="clear" w:color="auto" w:fill="FFFFFF"/>
          <w:lang w:val="hy-AM"/>
        </w:rPr>
        <w:t xml:space="preserve"> </w:t>
      </w:r>
      <w:r w:rsidR="00AB4BB8" w:rsidRPr="004114E0">
        <w:rPr>
          <w:rFonts w:ascii="GHEA Grapalat" w:hAnsi="GHEA Grapalat"/>
          <w:bCs w:val="0"/>
          <w:color w:val="000000"/>
          <w:sz w:val="24"/>
          <w:shd w:val="clear" w:color="auto" w:fill="FFFFFF"/>
          <w:lang w:val="hy-AM"/>
        </w:rPr>
        <w:t>ավտոմոբիլային բենզինի, դիզելային վառելիքի և մազութի</w:t>
      </w:r>
      <w:r w:rsidR="00AB4BB8" w:rsidRPr="004114E0">
        <w:rPr>
          <w:rFonts w:ascii="GHEA Grapalat" w:hAnsi="GHEA Grapalat"/>
          <w:color w:val="000000"/>
          <w:sz w:val="24"/>
          <w:shd w:val="clear" w:color="auto" w:fill="FFFFFF"/>
          <w:lang w:val="hy-AM"/>
        </w:rPr>
        <w:t xml:space="preserve"> նկատմամբ վերահսկողության իրականացման ստուգաթերթում կատարել համապատսխան փոփոխություններ և լրացումներ</w:t>
      </w:r>
      <w:r w:rsidR="00172476" w:rsidRPr="004114E0">
        <w:rPr>
          <w:rFonts w:ascii="GHEA Grapalat" w:hAnsi="GHEA Grapalat"/>
          <w:color w:val="000000"/>
          <w:sz w:val="24"/>
          <w:shd w:val="clear" w:color="auto" w:fill="FFFFFF"/>
          <w:lang w:val="hy-AM"/>
        </w:rPr>
        <w:t xml:space="preserve">, որի </w:t>
      </w:r>
      <w:r w:rsidR="00172476" w:rsidRPr="004114E0">
        <w:rPr>
          <w:rFonts w:ascii="GHEA Grapalat" w:hAnsi="GHEA Grapalat"/>
          <w:sz w:val="24"/>
          <w:lang w:val="hy-AM"/>
        </w:rPr>
        <w:t xml:space="preserve">շնորհիվ Տեսչական մարմինը հնարավորություն կունենա իրականացնել </w:t>
      </w:r>
      <w:r w:rsidR="00172476" w:rsidRPr="004114E0">
        <w:rPr>
          <w:rFonts w:ascii="GHEA Grapalat" w:hAnsi="GHEA Grapalat" w:cs="Sylfaen"/>
          <w:sz w:val="24"/>
          <w:lang w:val="hy-AM"/>
        </w:rPr>
        <w:t xml:space="preserve">ռեակտիվ շարժիչների և ավիացիոն բենզինի </w:t>
      </w:r>
      <w:r w:rsidR="004114E0" w:rsidRPr="004114E0">
        <w:rPr>
          <w:rFonts w:ascii="GHEA Grapalat" w:hAnsi="GHEA Grapalat" w:cs="Sylfaen"/>
          <w:sz w:val="24"/>
          <w:lang w:val="hy-AM"/>
        </w:rPr>
        <w:t xml:space="preserve">սահմանված պահանջների </w:t>
      </w:r>
      <w:r w:rsidR="00172476" w:rsidRPr="004114E0">
        <w:rPr>
          <w:rFonts w:ascii="GHEA Grapalat" w:hAnsi="GHEA Grapalat" w:cs="Sylfaen"/>
          <w:sz w:val="24"/>
          <w:lang w:val="hy-AM"/>
        </w:rPr>
        <w:t xml:space="preserve">նկատմամբ </w:t>
      </w:r>
      <w:r w:rsidR="00172476" w:rsidRPr="004114E0">
        <w:rPr>
          <w:rFonts w:ascii="GHEA Grapalat" w:hAnsi="GHEA Grapalat"/>
          <w:sz w:val="24"/>
          <w:lang w:val="hy-AM"/>
        </w:rPr>
        <w:t xml:space="preserve">օրենսդրությամբ իրեն վերապահված պատշաճ վերահսկողություն: </w:t>
      </w:r>
      <w:r w:rsidR="00172476" w:rsidRPr="004114E0">
        <w:rPr>
          <w:rFonts w:ascii="GHEA Grapalat" w:hAnsi="GHEA Grapalat"/>
          <w:noProof/>
          <w:sz w:val="24"/>
          <w:lang w:val="hy-AM"/>
        </w:rPr>
        <w:t xml:space="preserve"> </w:t>
      </w:r>
    </w:p>
    <w:p w14:paraId="4D958B82" w14:textId="4A7E6AEB" w:rsidR="00811869" w:rsidRPr="004114E0" w:rsidRDefault="00811869" w:rsidP="00172476">
      <w:pPr>
        <w:pStyle w:val="NoSpacing"/>
        <w:spacing w:line="360" w:lineRule="auto"/>
        <w:jc w:val="both"/>
        <w:rPr>
          <w:rFonts w:ascii="GHEA Grapalat" w:hAnsi="GHEA Grapalat" w:cs="GHEA Grapalat"/>
          <w:noProof/>
          <w:sz w:val="24"/>
          <w:lang w:val="hy-AM"/>
        </w:rPr>
      </w:pPr>
    </w:p>
    <w:p w14:paraId="7D15D629" w14:textId="77777777" w:rsidR="00796B1F" w:rsidRPr="004114E0" w:rsidRDefault="00796B1F"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77777777" w:rsidR="003B4318" w:rsidRPr="004114E0" w:rsidRDefault="00796B1F" w:rsidP="00172476">
      <w:pPr>
        <w:spacing w:line="360" w:lineRule="auto"/>
        <w:ind w:left="284"/>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և </w:t>
      </w:r>
      <w:r w:rsidR="003B4318" w:rsidRPr="004114E0">
        <w:rPr>
          <w:rFonts w:ascii="GHEA Grapalat" w:hAnsi="GHEA Grapalat"/>
          <w:noProof/>
          <w:sz w:val="24"/>
          <w:lang w:val="hy-AM"/>
        </w:rPr>
        <w:t>ՀՀ շուկայի վերահսկողության տեսչական մարմնի</w:t>
      </w:r>
      <w:r w:rsidR="003B4318" w:rsidRPr="004114E0">
        <w:rPr>
          <w:rFonts w:ascii="GHEA Grapalat" w:hAnsi="GHEA Grapalat"/>
          <w:color w:val="000000" w:themeColor="text1"/>
          <w:sz w:val="24"/>
          <w:lang w:val="hy-AM"/>
        </w:rPr>
        <w:t xml:space="preserve"> </w:t>
      </w:r>
      <w:r w:rsidR="003B4318" w:rsidRPr="004114E0">
        <w:rPr>
          <w:rFonts w:ascii="GHEA Grapalat" w:hAnsi="GHEA Grapalat" w:cs="Sylfaen"/>
          <w:color w:val="000000" w:themeColor="text1"/>
          <w:sz w:val="24"/>
          <w:lang w:val="hy-AM"/>
        </w:rPr>
        <w:t>կողմից համատեղ</w:t>
      </w:r>
      <w:r w:rsidR="003B4318" w:rsidRPr="004114E0">
        <w:rPr>
          <w:rFonts w:ascii="GHEA Grapalat" w:hAnsi="GHEA Grapalat"/>
          <w:color w:val="000000" w:themeColor="text1"/>
          <w:sz w:val="24"/>
          <w:lang w:val="hy-AM"/>
        </w:rPr>
        <w:t>:</w:t>
      </w:r>
    </w:p>
    <w:p w14:paraId="46EB304F" w14:textId="6ED898C1" w:rsidR="00796B1F" w:rsidRPr="004114E0" w:rsidRDefault="00796B1F" w:rsidP="00172476">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4114E0">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3FB73348" w14:textId="1945FA67" w:rsidR="003B4318" w:rsidRPr="004114E0" w:rsidRDefault="0022421D" w:rsidP="00172476">
      <w:pPr>
        <w:tabs>
          <w:tab w:val="left" w:pos="993"/>
        </w:tabs>
        <w:spacing w:line="360" w:lineRule="auto"/>
        <w:ind w:firstLine="426"/>
        <w:jc w:val="both"/>
        <w:rPr>
          <w:rFonts w:ascii="GHEA Grapalat" w:hAnsi="GHEA Grapalat"/>
          <w:noProof/>
          <w:sz w:val="24"/>
          <w:lang w:val="hy-AM"/>
        </w:rPr>
      </w:pPr>
      <w:r w:rsidRPr="004114E0">
        <w:rPr>
          <w:rFonts w:ascii="GHEA Grapalat" w:hAnsi="GHEA Grapalat"/>
          <w:noProof/>
          <w:sz w:val="24"/>
          <w:lang w:val="hy-AM"/>
        </w:rPr>
        <w:t xml:space="preserve"> </w:t>
      </w:r>
      <w:r w:rsidR="003B4318" w:rsidRPr="004114E0">
        <w:rPr>
          <w:rFonts w:ascii="GHEA Grapalat" w:hAnsi="GHEA Grapalat"/>
          <w:noProof/>
          <w:sz w:val="24"/>
          <w:lang w:val="hy-AM"/>
        </w:rPr>
        <w:t xml:space="preserve">Նախագծի ընդունման արդյունքում ակնկալվում է ապահովել </w:t>
      </w:r>
      <w:r w:rsidR="003B4318" w:rsidRPr="004114E0">
        <w:rPr>
          <w:rFonts w:ascii="GHEA Grapalat" w:hAnsi="GHEA Grapalat"/>
          <w:noProof/>
          <w:color w:val="000000"/>
          <w:sz w:val="24"/>
          <w:lang w:val="hy-AM" w:eastAsia="en-GB"/>
        </w:rPr>
        <w:t>«Հայաստանի Հանրապետությունում ստուգումների կազմակերպման և անցկացման մասին» օրենքի 3-րդ հոդվածի 1.1-ին մասով սահմանված</w:t>
      </w:r>
      <w:r w:rsidR="003B4318" w:rsidRPr="004114E0">
        <w:rPr>
          <w:rFonts w:ascii="GHEA Grapalat" w:hAnsi="GHEA Grapalat"/>
          <w:noProof/>
          <w:sz w:val="24"/>
          <w:lang w:val="hy-AM"/>
        </w:rPr>
        <w:t xml:space="preserve"> պահանջի կատարումը՝ ապահովելով Տեսչական մարմնի կողմից</w:t>
      </w:r>
      <w:r w:rsidR="003B4318" w:rsidRPr="004114E0">
        <w:rPr>
          <w:rFonts w:ascii="GHEA Grapalat" w:hAnsi="GHEA Grapalat" w:cs="GHEA Grapalat"/>
          <w:noProof/>
          <w:sz w:val="24"/>
          <w:lang w:val="hy-AM"/>
        </w:rPr>
        <w:t xml:space="preserve"> </w:t>
      </w:r>
      <w:r w:rsidR="00172476" w:rsidRPr="004114E0">
        <w:rPr>
          <w:rFonts w:ascii="GHEA Grapalat" w:hAnsi="GHEA Grapalat" w:cs="Sylfaen"/>
          <w:sz w:val="24"/>
          <w:lang w:val="hy-AM"/>
        </w:rPr>
        <w:t xml:space="preserve">ռեակտիվ շարժիչների և ավիացիոն բենզինի </w:t>
      </w:r>
      <w:r w:rsidR="004114E0" w:rsidRPr="004114E0">
        <w:rPr>
          <w:rFonts w:ascii="GHEA Grapalat" w:hAnsi="GHEA Grapalat" w:cs="Sylfaen"/>
          <w:sz w:val="24"/>
          <w:lang w:val="hy-AM"/>
        </w:rPr>
        <w:t xml:space="preserve">ոլորտում </w:t>
      </w:r>
      <w:r w:rsidR="003B4318" w:rsidRPr="004114E0">
        <w:rPr>
          <w:rFonts w:ascii="GHEA Grapalat" w:hAnsi="GHEA Grapalat"/>
          <w:noProof/>
          <w:sz w:val="24"/>
          <w:lang w:val="hy-AM"/>
        </w:rPr>
        <w:t>ստուգում իրականացնելու համար անհրաժեշտ ստուգաթերթ</w:t>
      </w:r>
      <w:r w:rsidR="004114E0" w:rsidRPr="004114E0">
        <w:rPr>
          <w:rFonts w:ascii="GHEA Grapalat" w:hAnsi="GHEA Grapalat"/>
          <w:noProof/>
          <w:sz w:val="24"/>
          <w:lang w:val="hy-AM"/>
        </w:rPr>
        <w:t>ի</w:t>
      </w:r>
      <w:r w:rsidR="003B4318" w:rsidRPr="004114E0">
        <w:rPr>
          <w:rFonts w:ascii="GHEA Grapalat" w:hAnsi="GHEA Grapalat"/>
          <w:noProof/>
          <w:sz w:val="24"/>
          <w:lang w:val="hy-AM"/>
        </w:rPr>
        <w:t xml:space="preserve"> հաստատումը:</w:t>
      </w:r>
    </w:p>
    <w:p w14:paraId="18A3B688" w14:textId="220A50BC" w:rsidR="00796B1F" w:rsidRPr="004114E0" w:rsidRDefault="00796B1F" w:rsidP="00172476">
      <w:pPr>
        <w:pStyle w:val="NoSpacing"/>
        <w:spacing w:line="360" w:lineRule="auto"/>
        <w:jc w:val="both"/>
        <w:rPr>
          <w:rFonts w:ascii="GHEA Grapalat" w:hAnsi="GHEA Grapalat"/>
          <w:color w:val="000000"/>
          <w:sz w:val="24"/>
          <w:lang w:val="hy-AM"/>
        </w:rPr>
      </w:pPr>
    </w:p>
    <w:p w14:paraId="5B9E40F8" w14:textId="77777777" w:rsidR="00796B1F" w:rsidRPr="004114E0" w:rsidRDefault="00796B1F"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Այլ տեղեկատվություն (եթե այդպիսիսք առկա են)</w:t>
      </w:r>
    </w:p>
    <w:p w14:paraId="612F4175" w14:textId="77777777" w:rsidR="005E6E85" w:rsidRPr="004114E0" w:rsidRDefault="005E6E85" w:rsidP="00172476">
      <w:pPr>
        <w:pStyle w:val="NoSpacing"/>
        <w:spacing w:line="360" w:lineRule="auto"/>
        <w:ind w:firstLine="284"/>
        <w:jc w:val="both"/>
        <w:rPr>
          <w:rFonts w:ascii="GHEA Grapalat" w:hAnsi="GHEA Grapalat"/>
          <w:noProof/>
          <w:sz w:val="24"/>
          <w:lang w:val="hy-AM"/>
        </w:rPr>
      </w:pPr>
      <w:r w:rsidRPr="004114E0">
        <w:rPr>
          <w:rFonts w:ascii="GHEA Grapalat" w:hAnsi="GHEA Grapalat"/>
          <w:noProof/>
          <w:sz w:val="24"/>
          <w:lang w:val="hy-AM"/>
        </w:rPr>
        <w:t>«</w:t>
      </w:r>
      <w:r w:rsidR="00267575" w:rsidRPr="004114E0">
        <w:rPr>
          <w:rFonts w:ascii="GHEA Grapalat" w:hAnsi="GHEA Grapalat"/>
          <w:noProof/>
          <w:color w:val="000000"/>
          <w:sz w:val="24"/>
          <w:lang w:val="hy-AM"/>
        </w:rPr>
        <w:t xml:space="preserve">Հայաստանի Հանրապետության կառավարության 2019 թվականի հունիսի 6-ի </w:t>
      </w:r>
      <w:r w:rsidR="00044C81" w:rsidRPr="004114E0">
        <w:rPr>
          <w:rFonts w:ascii="GHEA Grapalat" w:hAnsi="GHEA Grapalat"/>
          <w:sz w:val="24"/>
          <w:lang w:val="hy-AM"/>
        </w:rPr>
        <w:t>N  730-Ն որոշ</w:t>
      </w:r>
      <w:r w:rsidR="00267575" w:rsidRPr="004114E0">
        <w:rPr>
          <w:rFonts w:ascii="GHEA Grapalat" w:hAnsi="GHEA Grapalat"/>
          <w:sz w:val="24"/>
          <w:lang w:val="hy-AM"/>
        </w:rPr>
        <w:t>մ</w:t>
      </w:r>
      <w:r w:rsidR="00CB038A" w:rsidRPr="004114E0">
        <w:rPr>
          <w:rFonts w:ascii="GHEA Grapalat" w:hAnsi="GHEA Grapalat"/>
          <w:sz w:val="24"/>
          <w:lang w:val="hy-AM"/>
        </w:rPr>
        <w:t>ան մեջ</w:t>
      </w:r>
      <w:r w:rsidR="00267575" w:rsidRPr="004114E0">
        <w:rPr>
          <w:rFonts w:ascii="GHEA Grapalat" w:hAnsi="GHEA Grapalat"/>
          <w:sz w:val="24"/>
          <w:lang w:val="hy-AM"/>
        </w:rPr>
        <w:t xml:space="preserve"> </w:t>
      </w:r>
      <w:r w:rsidR="00046635" w:rsidRPr="004114E0">
        <w:rPr>
          <w:rFonts w:ascii="GHEA Grapalat" w:hAnsi="GHEA Grapalat"/>
          <w:sz w:val="24"/>
          <w:lang w:val="hy-AM"/>
        </w:rPr>
        <w:t>փոփոխություն</w:t>
      </w:r>
      <w:r w:rsidR="00EF7B7F" w:rsidRPr="004114E0">
        <w:rPr>
          <w:rFonts w:ascii="GHEA Grapalat" w:hAnsi="GHEA Grapalat"/>
          <w:sz w:val="24"/>
          <w:lang w:val="hy-AM"/>
        </w:rPr>
        <w:t>ներ</w:t>
      </w:r>
      <w:r w:rsidR="00046635" w:rsidRPr="004114E0">
        <w:rPr>
          <w:rFonts w:ascii="GHEA Grapalat" w:hAnsi="GHEA Grapalat"/>
          <w:sz w:val="24"/>
          <w:lang w:val="hy-AM"/>
        </w:rPr>
        <w:t xml:space="preserve"> և </w:t>
      </w:r>
      <w:r w:rsidR="00CB038A" w:rsidRPr="004114E0">
        <w:rPr>
          <w:rFonts w:ascii="GHEA Grapalat" w:hAnsi="GHEA Grapalat"/>
          <w:sz w:val="24"/>
          <w:lang w:val="hy-AM"/>
        </w:rPr>
        <w:t>լրացում</w:t>
      </w:r>
      <w:r w:rsidR="00EF7B7F" w:rsidRPr="004114E0">
        <w:rPr>
          <w:rFonts w:ascii="GHEA Grapalat" w:hAnsi="GHEA Grapalat"/>
          <w:sz w:val="24"/>
          <w:lang w:val="hy-AM"/>
        </w:rPr>
        <w:t>ներ</w:t>
      </w:r>
      <w:r w:rsidR="00CB038A" w:rsidRPr="004114E0">
        <w:rPr>
          <w:rFonts w:ascii="GHEA Grapalat" w:hAnsi="GHEA Grapalat"/>
          <w:sz w:val="24"/>
          <w:lang w:val="hy-AM"/>
        </w:rPr>
        <w:t xml:space="preserve"> կատարելու</w:t>
      </w:r>
      <w:r w:rsidR="00267575" w:rsidRPr="004114E0">
        <w:rPr>
          <w:rFonts w:ascii="GHEA Grapalat" w:hAnsi="GHEA Grapalat"/>
          <w:sz w:val="24"/>
          <w:lang w:val="hy-AM"/>
        </w:rPr>
        <w:t xml:space="preserve"> մասին</w:t>
      </w:r>
      <w:r w:rsidRPr="004114E0">
        <w:rPr>
          <w:rFonts w:ascii="GHEA Grapalat" w:hAnsi="GHEA Grapalat"/>
          <w:noProof/>
          <w:color w:val="000000"/>
          <w:sz w:val="24"/>
          <w:lang w:val="hy-AM"/>
        </w:rPr>
        <w:t xml:space="preserve">» </w:t>
      </w:r>
      <w:r w:rsidRPr="004114E0">
        <w:rPr>
          <w:rStyle w:val="Strong"/>
          <w:rFonts w:ascii="GHEA Grapalat" w:hAnsi="GHEA Grapalat"/>
          <w:b w:val="0"/>
          <w:color w:val="000000" w:themeColor="text1"/>
          <w:sz w:val="24"/>
          <w:shd w:val="clear" w:color="auto" w:fill="FFFFFF"/>
          <w:lang w:val="hy-AM"/>
        </w:rPr>
        <w:t xml:space="preserve">Հայաստանի Հանրապետության կառավարության որոշման </w:t>
      </w:r>
      <w:r w:rsidRPr="004114E0">
        <w:rPr>
          <w:rFonts w:ascii="GHEA Grapalat" w:hAnsi="GHEA Grapalat" w:cs="Sylfaen"/>
          <w:color w:val="000000" w:themeColor="text1"/>
          <w:sz w:val="24"/>
          <w:lang w:val="hy-AM"/>
        </w:rPr>
        <w:t xml:space="preserve">նախագծի  </w:t>
      </w:r>
      <w:r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6CEF1DC3" w14:textId="77777777" w:rsidR="00495D7C" w:rsidRPr="004114E0" w:rsidRDefault="00495D7C" w:rsidP="00172476">
      <w:pPr>
        <w:pStyle w:val="NoSpacing"/>
        <w:spacing w:line="360" w:lineRule="auto"/>
        <w:ind w:firstLine="284"/>
        <w:jc w:val="both"/>
        <w:rPr>
          <w:rFonts w:ascii="GHEA Grapalat" w:hAnsi="GHEA Grapalat"/>
          <w:noProof/>
          <w:sz w:val="24"/>
          <w:lang w:val="hy-AM"/>
        </w:rPr>
      </w:pPr>
    </w:p>
    <w:p w14:paraId="2C55B023" w14:textId="77777777" w:rsidR="00811869" w:rsidRPr="004114E0" w:rsidRDefault="00811869" w:rsidP="00172476">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172476">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ն հավելվածի 11.5 ենթակետի պահանջներից, մասնավորապես՝ «Շուկայի 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7AB0" w14:textId="77777777" w:rsidR="0048483A" w:rsidRDefault="0048483A" w:rsidP="009A7E0B">
      <w:r>
        <w:separator/>
      </w:r>
    </w:p>
  </w:endnote>
  <w:endnote w:type="continuationSeparator" w:id="0">
    <w:p w14:paraId="530CDEA0" w14:textId="77777777" w:rsidR="0048483A" w:rsidRDefault="0048483A"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7D53" w14:textId="77777777" w:rsidR="0048483A" w:rsidRDefault="0048483A" w:rsidP="009A7E0B">
      <w:r>
        <w:separator/>
      </w:r>
    </w:p>
  </w:footnote>
  <w:footnote w:type="continuationSeparator" w:id="0">
    <w:p w14:paraId="51CF14AF" w14:textId="77777777" w:rsidR="0048483A" w:rsidRDefault="0048483A"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E45BE"/>
    <w:multiLevelType w:val="hybridMultilevel"/>
    <w:tmpl w:val="BBDC8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137F6"/>
    <w:rsid w:val="000140FC"/>
    <w:rsid w:val="000217B5"/>
    <w:rsid w:val="00044C81"/>
    <w:rsid w:val="00046635"/>
    <w:rsid w:val="0005547F"/>
    <w:rsid w:val="001033CB"/>
    <w:rsid w:val="00136966"/>
    <w:rsid w:val="00171798"/>
    <w:rsid w:val="00172476"/>
    <w:rsid w:val="001B1751"/>
    <w:rsid w:val="001B41AD"/>
    <w:rsid w:val="001E4070"/>
    <w:rsid w:val="001F08B2"/>
    <w:rsid w:val="0022421D"/>
    <w:rsid w:val="00244D1C"/>
    <w:rsid w:val="00267575"/>
    <w:rsid w:val="002B14DD"/>
    <w:rsid w:val="002B23EA"/>
    <w:rsid w:val="002B2435"/>
    <w:rsid w:val="002C410A"/>
    <w:rsid w:val="002D1FCB"/>
    <w:rsid w:val="002D4098"/>
    <w:rsid w:val="002D43A0"/>
    <w:rsid w:val="00320CC6"/>
    <w:rsid w:val="003278A9"/>
    <w:rsid w:val="00331B37"/>
    <w:rsid w:val="00335FAB"/>
    <w:rsid w:val="00342657"/>
    <w:rsid w:val="0036349E"/>
    <w:rsid w:val="00366E1D"/>
    <w:rsid w:val="00383D83"/>
    <w:rsid w:val="003B4318"/>
    <w:rsid w:val="003E5B65"/>
    <w:rsid w:val="003E6634"/>
    <w:rsid w:val="004114E0"/>
    <w:rsid w:val="00446AB9"/>
    <w:rsid w:val="0045102B"/>
    <w:rsid w:val="0048483A"/>
    <w:rsid w:val="00495D7C"/>
    <w:rsid w:val="004A3223"/>
    <w:rsid w:val="004A5227"/>
    <w:rsid w:val="004D000C"/>
    <w:rsid w:val="004D32AA"/>
    <w:rsid w:val="004D6957"/>
    <w:rsid w:val="00521962"/>
    <w:rsid w:val="005322CD"/>
    <w:rsid w:val="00535133"/>
    <w:rsid w:val="00541921"/>
    <w:rsid w:val="00561283"/>
    <w:rsid w:val="005730F7"/>
    <w:rsid w:val="00590637"/>
    <w:rsid w:val="005D260A"/>
    <w:rsid w:val="005E6E85"/>
    <w:rsid w:val="00627269"/>
    <w:rsid w:val="00656BF5"/>
    <w:rsid w:val="006A46DD"/>
    <w:rsid w:val="006E5D30"/>
    <w:rsid w:val="006F05FF"/>
    <w:rsid w:val="00700368"/>
    <w:rsid w:val="00714EA8"/>
    <w:rsid w:val="00721E3C"/>
    <w:rsid w:val="00757FA8"/>
    <w:rsid w:val="00772F4F"/>
    <w:rsid w:val="007813B3"/>
    <w:rsid w:val="00791724"/>
    <w:rsid w:val="00796B1F"/>
    <w:rsid w:val="007A6901"/>
    <w:rsid w:val="007B1390"/>
    <w:rsid w:val="007C2A2B"/>
    <w:rsid w:val="007D44C3"/>
    <w:rsid w:val="007E60D4"/>
    <w:rsid w:val="00802C01"/>
    <w:rsid w:val="00811869"/>
    <w:rsid w:val="00811B0B"/>
    <w:rsid w:val="00886B9C"/>
    <w:rsid w:val="008E75BB"/>
    <w:rsid w:val="008F076F"/>
    <w:rsid w:val="0090412A"/>
    <w:rsid w:val="00907003"/>
    <w:rsid w:val="00921598"/>
    <w:rsid w:val="0092759D"/>
    <w:rsid w:val="0097286E"/>
    <w:rsid w:val="009956DF"/>
    <w:rsid w:val="009968D4"/>
    <w:rsid w:val="009A7E0B"/>
    <w:rsid w:val="009D2147"/>
    <w:rsid w:val="009D2939"/>
    <w:rsid w:val="009E5D73"/>
    <w:rsid w:val="00A91B92"/>
    <w:rsid w:val="00AA488A"/>
    <w:rsid w:val="00AB4BB8"/>
    <w:rsid w:val="00AE48EB"/>
    <w:rsid w:val="00AE65A2"/>
    <w:rsid w:val="00B0321B"/>
    <w:rsid w:val="00B22F47"/>
    <w:rsid w:val="00B23C8E"/>
    <w:rsid w:val="00B258B5"/>
    <w:rsid w:val="00B300BB"/>
    <w:rsid w:val="00B60515"/>
    <w:rsid w:val="00BA6F93"/>
    <w:rsid w:val="00BC31DE"/>
    <w:rsid w:val="00C202BF"/>
    <w:rsid w:val="00C35B62"/>
    <w:rsid w:val="00C954AB"/>
    <w:rsid w:val="00CB038A"/>
    <w:rsid w:val="00D012F5"/>
    <w:rsid w:val="00D23501"/>
    <w:rsid w:val="00D3628E"/>
    <w:rsid w:val="00D55002"/>
    <w:rsid w:val="00D9118E"/>
    <w:rsid w:val="00DD1D08"/>
    <w:rsid w:val="00E32B17"/>
    <w:rsid w:val="00E724D5"/>
    <w:rsid w:val="00EF7B7F"/>
    <w:rsid w:val="00F05C00"/>
    <w:rsid w:val="00F30F30"/>
    <w:rsid w:val="00F649D1"/>
    <w:rsid w:val="00FB2F38"/>
    <w:rsid w:val="00FC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19A93-99E6-4EE3-A167-11C5A1C5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Syuzanna Gevorgyan</cp:lastModifiedBy>
  <cp:revision>2</cp:revision>
  <dcterms:created xsi:type="dcterms:W3CDTF">2022-05-18T12:22:00Z</dcterms:created>
  <dcterms:modified xsi:type="dcterms:W3CDTF">2022-05-18T12:22:00Z</dcterms:modified>
</cp:coreProperties>
</file>