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:rsidR="004B6F0A" w:rsidRDefault="004B6F0A" w:rsidP="004E230E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30-Ի N 718-Ն ՈՐՈՇՄԱՆ ՄԵՋ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="008B5C1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="003F2193"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  <w:r w:rsidR="00A15A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15A05" w:rsidRPr="00A15A0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(ԱՅՍՈՒՀԵՏ` ՆԱԽԱԳԻԾ) ԸՆԴՈՒՆՄԱՆ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 </w:t>
      </w:r>
      <w:r w:rsidR="00473BD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:rsidR="00473BDF" w:rsidRDefault="00473BDF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օրենքի 3-րդ հոդվածի 1.1-ին մասի  համաձայն՝ բոլոր ստուգումները, բացառությամբ ՏՄՊՊՀ-ի, ինչպես նաև պետական բյուջեի կատարման ուղղությամբ տարվող աշխատանքների` ներառյալ պետական պատվերի տեղադրման (գնումների գործընթացի) ճշտության և օրինականության նկատմամբ հսկողությունը, անցկացվում են բացառապես ստուգաթերթերի հիման վրա, որոնք հաստատում է ՀՀ կառավարությունը: </w:t>
      </w:r>
    </w:p>
    <w:p w:rsidR="00E75571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Հանրապետության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կառավարության 2020 թվականի ապրիլի 30-ի N 718-Ն որոշմամբ</w:t>
      </w:r>
      <w:r w:rsidR="001D543F" w:rsidRPr="00425E8A">
        <w:rPr>
          <w:lang w:val="hy-AM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հաստատվել են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2020 թվականի օգոստոսի 27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N 1437-Ն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2020 թվականի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դեկտեմբեր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10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2046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-Ն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մայի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սի 27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861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ումներով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լրացվել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են 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ռողջապահական և աշխատանքի տեսչական մարմնի </w:t>
      </w:r>
      <w:r w:rsidR="006558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(այսուհետ՝ Տեսչական մարմին)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կողմից </w:t>
      </w:r>
      <w:r w:rsidR="00E75571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սանիտարահիգիենիկ և հակահամաճարակային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դեղերի շրջանառության և դեղագործական գործունեության,</w:t>
      </w:r>
      <w:r w:rsidR="00E755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բժշկական օգնության և սպասարկման, ինչպես նաև աշխատողների առողջության պահպանման և անվտանգության ապահովման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բնագավառներում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իրականացվող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ստուգումների ստուգաթերթեր</w:t>
      </w:r>
      <w:r w:rsidR="003F219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որոնք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չեն ներառում 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տեսչական մարմնի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երահսկողության ամբողջ շրջանակը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պարբերաբար անհրաժեշտություն է առաջանում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որոշման համապատասխան հավելվածներ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լրացնել առանձին բնագավառներ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վերահսկողությ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իրականացնելու վերաբերյալ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ստուգաթերթերով։</w:t>
      </w:r>
    </w:p>
    <w:p w:rsidR="0065583E" w:rsidRDefault="0065583E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Pr="00FA3E56">
        <w:rPr>
          <w:rFonts w:ascii="GHEA Grapalat" w:eastAsia="Times New Roman" w:hAnsi="GHEA Grapalat" w:cs="GHEA Grapalat"/>
          <w:sz w:val="24"/>
          <w:szCs w:val="24"/>
          <w:lang w:val="hy-AM"/>
        </w:rPr>
        <w:t>եսչական մարմի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նը Բ</w:t>
      </w:r>
      <w:r w:rsidRPr="0021482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նակչության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բժշկական օգնության և սպասարկման </w:t>
      </w:r>
      <w:r w:rsidRPr="00214820">
        <w:rPr>
          <w:rFonts w:ascii="GHEA Grapalat" w:eastAsia="Times New Roman" w:hAnsi="GHEA Grapalat" w:cs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 և Լիցենզավորման մասին ՀՀ օրենքներով, </w:t>
      </w:r>
      <w:r w:rsidRPr="0039304C">
        <w:rPr>
          <w:rFonts w:ascii="GHEA Grapalat" w:eastAsia="Times New Roman" w:hAnsi="GHEA Grapalat" w:cs="GHEA Grapalat"/>
          <w:sz w:val="24"/>
          <w:szCs w:val="24"/>
          <w:lang w:val="hy-AM"/>
        </w:rPr>
        <w:t>ՀՀ կառավարության 2002 թվականի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39304C">
        <w:rPr>
          <w:rFonts w:ascii="GHEA Grapalat" w:eastAsia="Times New Roman" w:hAnsi="GHEA Grapalat" w:cs="GHEA Grapalat"/>
          <w:sz w:val="24"/>
          <w:szCs w:val="24"/>
          <w:lang w:val="hy-AM"/>
        </w:rPr>
        <w:t>դեկտեմբերի 5-ի N 1936-Ն, ՀՀ կառավարության 2002 թվականի հունիսի 29-ի N 867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Pr="0039304C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ՀՀ կառավարության 2008 թվականի մարտի 27-ի N 276-Ն,</w:t>
      </w:r>
      <w:r w:rsidRPr="00780CFD">
        <w:rPr>
          <w:lang w:val="hy-AM"/>
        </w:rPr>
        <w:t xml:space="preserve"> </w:t>
      </w:r>
      <w:r w:rsidRPr="00780CFD">
        <w:rPr>
          <w:rFonts w:ascii="GHEA Grapalat" w:eastAsia="Times New Roman" w:hAnsi="GHEA Grapalat" w:cs="GHEA Grapalat"/>
          <w:sz w:val="24"/>
          <w:szCs w:val="24"/>
          <w:lang w:val="hy-AM"/>
        </w:rPr>
        <w:t>ՀՀ կառավարության 2014 թվականի դեկտեմբերի 25-ի N 1529-Ն որոշ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ումներով,</w:t>
      </w:r>
      <w:r w:rsidRPr="0039304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ՀՀ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վարչապետի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2018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հունիսի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11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թիվ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755-Լ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որոշմամբ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նախատես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hy-AM"/>
        </w:rPr>
        <w:t>ված</w:t>
      </w:r>
      <w:r w:rsidRPr="0021482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լիազորությունների շրջանակներում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 թիվս այլնի, վերահսկողություն է իրականացնում նաև Հ</w:t>
      </w:r>
      <w:r w:rsidRPr="006C0AB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6C0AB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անրապետությունում </w:t>
      </w:r>
      <w:bookmarkStart w:id="0" w:name="_Hlk90308347"/>
      <w:r>
        <w:rPr>
          <w:rFonts w:ascii="GHEA Grapalat" w:eastAsia="Times New Roman" w:hAnsi="GHEA Grapalat" w:cs="GHEA Grapalat"/>
          <w:sz w:val="24"/>
          <w:szCs w:val="24"/>
          <w:lang w:val="hy-AM"/>
        </w:rPr>
        <w:t>բ</w:t>
      </w:r>
      <w:r w:rsidRPr="00900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ժշկական օգնության և սպասարկման </w:t>
      </w:r>
      <w:bookmarkEnd w:id="0"/>
      <w:r w:rsidRPr="00900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 ունեցող անձանց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մատուցվող արտահիվանդանոցային </w:t>
      </w:r>
      <w:r w:rsidRPr="005B766D">
        <w:rPr>
          <w:rFonts w:ascii="GHEA Grapalat" w:eastAsia="Times New Roman" w:hAnsi="GHEA Grapalat" w:cs="GHEA Grapalat"/>
          <w:sz w:val="24"/>
          <w:szCs w:val="24"/>
          <w:lang w:val="hy-AM"/>
        </w:rPr>
        <w:t>բժշկական օգնության և սպասարկման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312F57">
        <w:rPr>
          <w:rFonts w:ascii="GHEA Grapalat" w:eastAsia="Times New Roman" w:hAnsi="GHEA Grapalat" w:cs="GHEA Grapalat"/>
          <w:sz w:val="24"/>
          <w:szCs w:val="24"/>
          <w:lang w:val="hy-AM"/>
        </w:rPr>
        <w:t>ներկայացվող պահանջների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պահպանման նկատմամբ։</w:t>
      </w:r>
    </w:p>
    <w:p w:rsidR="0065583E" w:rsidRDefault="0065583E" w:rsidP="0065583E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Տեսչական մարմինը 2021 թվականի թեմատիկ ստուգումների ընթացքում բազմիցս առնչվել է </w:t>
      </w:r>
      <w:r w:rsidRPr="00AE3A3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իրավական ակտերով նախատեսված պահանջների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 ստուգաթերթերում ներառված պարտադիր պահանջների անհամապատասխանությանը, ինչն էլ նվազեցնում է ոլորտների նկատմամբ արդյունավետ վերահսկողություն իրականացնելու հնարավորությունը, երբեմն էլ դարձնում անհնարին։ </w:t>
      </w:r>
    </w:p>
    <w:p w:rsidR="00443CBC" w:rsidRDefault="00443CBC" w:rsidP="00443CBC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Գործող ստուգաթերթերում ամրագրված են իրավական ակտերի մասեր, կետեր, ենթակետեր, որոնք արդեն ուժը կորցրած են ճանաչվ</w:t>
      </w:r>
      <w:r w:rsidR="00715BA5">
        <w:rPr>
          <w:rFonts w:ascii="GHEA Grapalat" w:eastAsia="Times New Roman" w:hAnsi="GHEA Grapalat" w:cs="GHEA Grapalat"/>
          <w:sz w:val="24"/>
          <w:szCs w:val="24"/>
          <w:lang w:val="hy-AM"/>
        </w:rPr>
        <w:t>ել կամ փոփոխության են ենթարկվել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։ Լիցենզավորման ենթակա բ</w:t>
      </w:r>
      <w:r w:rsidRPr="00AE3A3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ժշկական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օգնության և սպասարկման տեսակների ցանկը համալրվել է նոր տեսակներով, որոնք արդեն կիրառելի են, սակայն վերահսկողություն իրականացնել հնարավոր չէ, քանի որ ստուգաթերթով նախատեսված </w:t>
      </w:r>
      <w:r w:rsidR="00715BA5">
        <w:rPr>
          <w:rFonts w:ascii="GHEA Grapalat" w:eastAsia="Times New Roman" w:hAnsi="GHEA Grapalat" w:cs="GHEA Grapalat"/>
          <w:sz w:val="24"/>
          <w:szCs w:val="24"/>
          <w:lang w:val="hy-AM"/>
        </w:rPr>
        <w:t>չեն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:rsidR="00443CBC" w:rsidRDefault="00D25A13" w:rsidP="008D20E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highlight w:val="yellow"/>
          <w:lang w:val="hy-AM"/>
        </w:rPr>
      </w:pPr>
      <w:r w:rsidRPr="00443CBC">
        <w:rPr>
          <w:rFonts w:ascii="GHEA Grapalat" w:eastAsia="Times New Roman" w:hAnsi="GHEA Grapalat" w:cs="GHEA Grapalat"/>
          <w:sz w:val="24"/>
          <w:szCs w:val="24"/>
          <w:lang w:val="hy-AM"/>
        </w:rPr>
        <w:t>Վերո</w:t>
      </w:r>
      <w:r w:rsidR="00C21520" w:rsidRPr="00443CBC">
        <w:rPr>
          <w:rFonts w:ascii="GHEA Grapalat" w:eastAsia="Times New Roman" w:hAnsi="GHEA Grapalat" w:cs="GHEA Grapalat"/>
          <w:sz w:val="24"/>
          <w:szCs w:val="24"/>
          <w:lang w:val="hy-AM"/>
        </w:rPr>
        <w:t>նշվածների</w:t>
      </w:r>
      <w:r w:rsidRPr="00443C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վերաբերյալ </w:t>
      </w:r>
      <w:r w:rsidR="00443CBC" w:rsidRPr="00443C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անհրաժեշտություն է առաջացել </w:t>
      </w:r>
      <w:r w:rsidR="008D20E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մշակելու </w:t>
      </w:r>
      <w:r w:rsidR="00443CBC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8D20EE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Մասնագիտացված բժշկական օգնություն</w:t>
      </w:r>
      <w:r w:rsidR="008D20EE">
        <w:rPr>
          <w:rFonts w:ascii="GHEA Grapalat" w:eastAsia="Times New Roman" w:hAnsi="GHEA Grapalat" w:cs="GHEA Grapalat"/>
          <w:sz w:val="24"/>
          <w:szCs w:val="24"/>
          <w:lang w:val="hy-AM"/>
        </w:rPr>
        <w:t>: Հ</w:t>
      </w:r>
      <w:r w:rsidR="008D20EE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ոգեբուժական բժշկական օգնության և սպասարկման </w:t>
      </w:r>
      <w:r w:rsidR="00443CBC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(Ստուգաթերթ N 3.</w:t>
      </w:r>
      <w:r w:rsidR="008D20EE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443CBC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) վերահսկողությ</w:t>
      </w:r>
      <w:r w:rsidR="008D20EE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ու</w:t>
      </w:r>
      <w:r w:rsidR="00443CBC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8D20EE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F44BB8">
        <w:rPr>
          <w:rFonts w:ascii="GHEA Grapalat" w:eastAsia="Times New Roman" w:hAnsi="GHEA Grapalat" w:cs="GHEA Grapalat"/>
          <w:sz w:val="24"/>
          <w:szCs w:val="24"/>
          <w:lang w:val="hy-AM"/>
        </w:rPr>
        <w:t>, ինչպես նաև «</w:t>
      </w:r>
      <w:r w:rsidR="008D20EE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>Լաբորատոր-գործիքային ախտորոշիչ հետազոտությունների իրականացման (Ստուգաթերթ N 3.13) վերահսկողություն</w:t>
      </w:r>
      <w:r w:rsidR="00F44BB8" w:rsidRPr="008D20E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» </w:t>
      </w:r>
      <w:r w:rsidR="00443CBC">
        <w:rPr>
          <w:rFonts w:ascii="GHEA Grapalat" w:eastAsia="Times New Roman" w:hAnsi="GHEA Grapalat" w:cs="GHEA Grapalat"/>
          <w:sz w:val="24"/>
          <w:szCs w:val="24"/>
          <w:lang w:val="hy-AM"/>
        </w:rPr>
        <w:t>նոր խմբագրությամբ ստուգաթերթ</w:t>
      </w:r>
      <w:r w:rsidR="00F44BB8">
        <w:rPr>
          <w:rFonts w:ascii="GHEA Grapalat" w:eastAsia="Times New Roman" w:hAnsi="GHEA Grapalat" w:cs="GHEA Grapalat"/>
          <w:sz w:val="24"/>
          <w:szCs w:val="24"/>
          <w:lang w:val="hy-AM"/>
        </w:rPr>
        <w:t>եր</w:t>
      </w:r>
      <w:r w:rsidR="00443CBC">
        <w:rPr>
          <w:rFonts w:ascii="GHEA Grapalat" w:eastAsia="Times New Roman" w:hAnsi="GHEA Grapalat" w:cs="GHEA Grapalat"/>
          <w:sz w:val="24"/>
          <w:szCs w:val="24"/>
          <w:lang w:val="hy-AM"/>
        </w:rPr>
        <w:t>ի նախագծ</w:t>
      </w:r>
      <w:r w:rsidR="00F44BB8">
        <w:rPr>
          <w:rFonts w:ascii="GHEA Grapalat" w:eastAsia="Times New Roman" w:hAnsi="GHEA Grapalat" w:cs="GHEA Grapalat"/>
          <w:sz w:val="24"/>
          <w:szCs w:val="24"/>
          <w:lang w:val="hy-AM"/>
        </w:rPr>
        <w:t>եր</w:t>
      </w:r>
      <w:r w:rsidR="00443CBC">
        <w:rPr>
          <w:rFonts w:ascii="GHEA Grapalat" w:eastAsia="Times New Roman" w:hAnsi="GHEA Grapalat" w:cs="GHEA Grapalat"/>
          <w:sz w:val="24"/>
          <w:szCs w:val="24"/>
          <w:lang w:val="hy-AM"/>
        </w:rPr>
        <w:t>ը:</w:t>
      </w:r>
    </w:p>
    <w:p w:rsidR="00443CBC" w:rsidRDefault="00443CBC" w:rsidP="00443CB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:rsidR="00E75571" w:rsidRPr="00E75571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:rsidR="007F693B" w:rsidRPr="00443CBC" w:rsidRDefault="004B6F0A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նպատակն է 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հաստատել </w:t>
      </w:r>
      <w:r w:rsidR="00443CBC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նոր խմբագրությամբ 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հետևյալ բնագավառի ստու</w:t>
      </w:r>
      <w:r w:rsidR="00A23F4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գա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թեր</w:t>
      </w:r>
      <w:r w:rsidR="00662B06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թ</w:t>
      </w:r>
      <w:r w:rsidR="00F44BB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A23F4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.</w:t>
      </w:r>
      <w:r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:rsidR="00353C0A" w:rsidRPr="001640F8" w:rsidRDefault="001640F8" w:rsidP="00F44BB8">
      <w:pPr>
        <w:pStyle w:val="ListParagraph"/>
        <w:tabs>
          <w:tab w:val="left" w:pos="993"/>
          <w:tab w:val="left" w:pos="1276"/>
        </w:tabs>
        <w:spacing w:after="0" w:line="360" w:lineRule="auto"/>
        <w:ind w:left="709"/>
        <w:jc w:val="both"/>
        <w:rPr>
          <w:rFonts w:ascii="GHEA Grapalat" w:hAnsi="GHEA Grapalat"/>
          <w:b/>
          <w:bCs/>
          <w:i/>
          <w:lang w:val="hy-AM" w:eastAsia="ru-RU"/>
        </w:rPr>
      </w:pPr>
      <w:r w:rsidRPr="001640F8">
        <w:rPr>
          <w:rFonts w:ascii="GHEA Grapalat" w:hAnsi="GHEA Grapalat"/>
          <w:b/>
          <w:bCs/>
          <w:i/>
          <w:lang w:val="hy-AM" w:eastAsia="ru-RU"/>
        </w:rPr>
        <w:lastRenderedPageBreak/>
        <w:t xml:space="preserve">Բժշկական օգնության և սպասարկման </w:t>
      </w:r>
      <w:r w:rsidR="00353C0A" w:rsidRPr="001640F8">
        <w:rPr>
          <w:rFonts w:ascii="GHEA Grapalat" w:hAnsi="GHEA Grapalat"/>
          <w:b/>
          <w:bCs/>
          <w:i/>
          <w:lang w:val="hy-AM" w:eastAsia="ru-RU"/>
        </w:rPr>
        <w:t>բնագավառում՝</w:t>
      </w:r>
    </w:p>
    <w:p w:rsidR="00353C0A" w:rsidRPr="008D20EE" w:rsidRDefault="008D20EE" w:rsidP="00F44BB8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 w:cs="GHEA Grapalat"/>
          <w:i/>
          <w:sz w:val="24"/>
          <w:szCs w:val="24"/>
          <w:lang w:val="hy-AM"/>
        </w:rPr>
      </w:pPr>
      <w:r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>«Մասնագիտացված բժշկական օգնություն: Հոգեբուժական բժշկական օգնության և սպասարկման վերահսկողություն»</w:t>
      </w:r>
      <w:r w:rsidR="001640F8"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, </w:t>
      </w:r>
      <w:r w:rsidR="007C5A56"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>որն ընդգրկում է</w:t>
      </w:r>
      <w:r w:rsidR="004814F2"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</w:t>
      </w:r>
      <w:r w:rsidR="00FF1567">
        <w:rPr>
          <w:rFonts w:ascii="GHEA Grapalat" w:eastAsia="Times New Roman" w:hAnsi="GHEA Grapalat" w:cs="GHEA Grapalat"/>
          <w:i/>
          <w:sz w:val="24"/>
          <w:szCs w:val="24"/>
          <w:lang w:val="hy-AM"/>
        </w:rPr>
        <w:t>86</w:t>
      </w:r>
      <w:r w:rsidR="007C5A56"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հարց</w:t>
      </w:r>
      <w:r w:rsidR="00F44BB8"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>,</w:t>
      </w:r>
    </w:p>
    <w:p w:rsidR="00F44BB8" w:rsidRPr="008D20EE" w:rsidRDefault="008D20EE" w:rsidP="00F44BB8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 w:cs="GHEA Grapalat"/>
          <w:i/>
          <w:sz w:val="24"/>
          <w:szCs w:val="24"/>
          <w:lang w:val="hy-AM"/>
        </w:rPr>
      </w:pPr>
      <w:r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«Լաբորատոր-գործիքային ախտորոշիչ հետազոտությունների իրականացման վերահսկողություն», որն ընդգրկում է </w:t>
      </w:r>
      <w:r w:rsidR="00FF1567">
        <w:rPr>
          <w:rFonts w:ascii="GHEA Grapalat" w:eastAsia="Times New Roman" w:hAnsi="GHEA Grapalat" w:cs="GHEA Grapalat"/>
          <w:i/>
          <w:sz w:val="24"/>
          <w:szCs w:val="24"/>
          <w:lang w:val="hy-AM"/>
        </w:rPr>
        <w:t>79</w:t>
      </w:r>
      <w:bookmarkStart w:id="1" w:name="_GoBack"/>
      <w:bookmarkEnd w:id="1"/>
      <w:r w:rsidR="00F44BB8" w:rsidRPr="008D20E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հարց:</w:t>
      </w:r>
    </w:p>
    <w:p w:rsidR="00E75571" w:rsidRPr="0065583E" w:rsidRDefault="00E75571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«</w:t>
      </w:r>
      <w:r w:rsidR="00941C8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» օրենքի 3-րդ հոդվածի 1.1-ին մասի համաձայն Ստուգաթերթերի հարցերը ձևավորվում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</w:t>
      </w:r>
    </w:p>
    <w:p w:rsidR="007215E5" w:rsidRPr="0065583E" w:rsidRDefault="007215E5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Ստուգաթերթի հարցերն ընդգրկում են տնտեսավարող սուբյեկտների նկատմամբ Հայաստանի Հանրապետության օրենքներով և այլ նորմատիվ իրավական ակտերով սահմանված այն պահանջների սպառիչ ցանկը, որոնց խախտումը կարող է վնաս հասցնել մարդու կյանքին կամ առողջությանը, կենդանիներին, շրջակա միջավայրին, քաղաքացիների, իրավաբանական անձանց կամ պետության գույքային իրավունքներին:</w:t>
      </w:r>
    </w:p>
    <w:p w:rsidR="00D25A13" w:rsidRPr="0065583E" w:rsidRDefault="00833476" w:rsidP="00D25A13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Ռիսկը տնտեսավարող սուբյեկտի գործունեության արդյունքում մարդու կյանքին, առողջությանը, շրջակա միջավայրին, պետության, իրավաբանական և ֆիզիկական անձանց գույքային շահերին, բնական և էներգետիկ պաշարների խնայողությանը վնաս հասցնելու հավանականությունն է` հաշվի առնելով այդ վնասի ծանրության աստիճանը:</w:t>
      </w:r>
    </w:p>
    <w:p w:rsidR="00833476" w:rsidRPr="00005A88" w:rsidRDefault="00833476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Ռիսկի վրա հիմնված ստուգումների համակարգի միջոցով ստուգում իրականացնող մարմինը ստուգումները նպատակաուղղում է դեպի այն ոլորտները և վերահսկման օբյեկտները, որոնք առավել ռիսկային են:</w:t>
      </w:r>
    </w:p>
    <w:p w:rsidR="004B6F0A" w:rsidRDefault="000D1140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</w:p>
    <w:p w:rsidR="004B6F0A" w:rsidRDefault="000D1140" w:rsidP="004E230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4B6F0A" w:rsidRDefault="004B6F0A" w:rsidP="004E230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Նախագիծը մշակվել է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վարչապետի աշխատակազմի տեսչական մարմինների աշխատանքների համակարգման գրասենյակի </w:t>
      </w:r>
      <w:r w:rsidR="00941C8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և </w:t>
      </w:r>
      <w:r w:rsidR="008B5C1E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Տեսչական մարմնի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941C8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A15A05" w:rsidRPr="00A15A05" w:rsidRDefault="00A15A0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:rsidR="00A15A05" w:rsidRDefault="00A15A05" w:rsidP="00A15A05">
      <w:pPr>
        <w:spacing w:after="0" w:line="360" w:lineRule="auto"/>
        <w:ind w:firstLine="851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A15A05" w:rsidRPr="00A15A05" w:rsidRDefault="00A15A0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:rsidR="00A15A05" w:rsidRDefault="00A15A0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C95195" w:rsidRPr="009B594C" w:rsidRDefault="00C95195" w:rsidP="00C95195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:rsidR="00E60EE1" w:rsidRDefault="00C95195" w:rsidP="00E60EE1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60EE1">
        <w:rPr>
          <w:rFonts w:ascii="GHEA Grapalat" w:hAnsi="GHEA Grapalat"/>
          <w:sz w:val="24"/>
          <w:lang w:val="hy-AM"/>
        </w:rPr>
        <w:t>Ն</w:t>
      </w:r>
      <w:r w:rsidR="00E60EE1"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p w:rsidR="00C95195" w:rsidRPr="000333ED" w:rsidRDefault="00C9519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E4B69" w:rsidRPr="00A15A05" w:rsidRDefault="004E4B69" w:rsidP="004E230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:rsidR="00AF259E" w:rsidRDefault="00AF259E" w:rsidP="004E230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4B6F0A" w:rsidRDefault="004B6F0A" w:rsidP="004E230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</w:p>
    <w:sectPr w:rsidR="004B6F0A" w:rsidSect="004E4B69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755"/>
    <w:multiLevelType w:val="hybridMultilevel"/>
    <w:tmpl w:val="EC82C632"/>
    <w:lvl w:ilvl="0" w:tplc="9F7E15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54F08"/>
    <w:rsid w:val="000A7804"/>
    <w:rsid w:val="000D1140"/>
    <w:rsid w:val="000E7E81"/>
    <w:rsid w:val="0011213E"/>
    <w:rsid w:val="00132DD0"/>
    <w:rsid w:val="00154130"/>
    <w:rsid w:val="001640F8"/>
    <w:rsid w:val="00173EDB"/>
    <w:rsid w:val="001D543F"/>
    <w:rsid w:val="00353C0A"/>
    <w:rsid w:val="00360346"/>
    <w:rsid w:val="00383BD8"/>
    <w:rsid w:val="003F1CF6"/>
    <w:rsid w:val="003F2193"/>
    <w:rsid w:val="00412F93"/>
    <w:rsid w:val="00425E8A"/>
    <w:rsid w:val="00443CBC"/>
    <w:rsid w:val="00453C84"/>
    <w:rsid w:val="0046524C"/>
    <w:rsid w:val="00471F2A"/>
    <w:rsid w:val="00473BDF"/>
    <w:rsid w:val="004814F2"/>
    <w:rsid w:val="004A1A4D"/>
    <w:rsid w:val="004B6F0A"/>
    <w:rsid w:val="004E230E"/>
    <w:rsid w:val="004E4B69"/>
    <w:rsid w:val="005106B7"/>
    <w:rsid w:val="005474E0"/>
    <w:rsid w:val="005D19CD"/>
    <w:rsid w:val="005E4272"/>
    <w:rsid w:val="005F4DD3"/>
    <w:rsid w:val="00616624"/>
    <w:rsid w:val="00641304"/>
    <w:rsid w:val="0065583E"/>
    <w:rsid w:val="00662B06"/>
    <w:rsid w:val="006B4940"/>
    <w:rsid w:val="00715BA5"/>
    <w:rsid w:val="007215E5"/>
    <w:rsid w:val="00747F8F"/>
    <w:rsid w:val="0075170A"/>
    <w:rsid w:val="007C5A56"/>
    <w:rsid w:val="007F693B"/>
    <w:rsid w:val="00801FD3"/>
    <w:rsid w:val="008137A8"/>
    <w:rsid w:val="00833476"/>
    <w:rsid w:val="008A564D"/>
    <w:rsid w:val="008B5C1E"/>
    <w:rsid w:val="008D20EE"/>
    <w:rsid w:val="008E5805"/>
    <w:rsid w:val="009138BA"/>
    <w:rsid w:val="00925DD8"/>
    <w:rsid w:val="00941C8D"/>
    <w:rsid w:val="009464BF"/>
    <w:rsid w:val="0097389F"/>
    <w:rsid w:val="00995F39"/>
    <w:rsid w:val="009B2386"/>
    <w:rsid w:val="009B3D97"/>
    <w:rsid w:val="009E23C0"/>
    <w:rsid w:val="009F6C3B"/>
    <w:rsid w:val="00A15A05"/>
    <w:rsid w:val="00A23F41"/>
    <w:rsid w:val="00AA4580"/>
    <w:rsid w:val="00AF16E0"/>
    <w:rsid w:val="00AF259E"/>
    <w:rsid w:val="00B03C89"/>
    <w:rsid w:val="00B21D11"/>
    <w:rsid w:val="00B22629"/>
    <w:rsid w:val="00BD258A"/>
    <w:rsid w:val="00C209B4"/>
    <w:rsid w:val="00C21520"/>
    <w:rsid w:val="00C25091"/>
    <w:rsid w:val="00C63A67"/>
    <w:rsid w:val="00C94D63"/>
    <w:rsid w:val="00C95195"/>
    <w:rsid w:val="00CA54E0"/>
    <w:rsid w:val="00D252A4"/>
    <w:rsid w:val="00D25A13"/>
    <w:rsid w:val="00E32830"/>
    <w:rsid w:val="00E60EE1"/>
    <w:rsid w:val="00E75571"/>
    <w:rsid w:val="00E87F3C"/>
    <w:rsid w:val="00EB0FBD"/>
    <w:rsid w:val="00EC2154"/>
    <w:rsid w:val="00F161CF"/>
    <w:rsid w:val="00F2700B"/>
    <w:rsid w:val="00F44BB8"/>
    <w:rsid w:val="00F57540"/>
    <w:rsid w:val="00F647E7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3C85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Syuzanna Gevorgyan</cp:lastModifiedBy>
  <cp:revision>121</cp:revision>
  <dcterms:created xsi:type="dcterms:W3CDTF">2021-05-21T05:56:00Z</dcterms:created>
  <dcterms:modified xsi:type="dcterms:W3CDTF">2022-04-11T11:34:00Z</dcterms:modified>
</cp:coreProperties>
</file>