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B5" w:rsidRPr="00C4275C" w:rsidRDefault="00C05CB5" w:rsidP="00C05CB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275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05CB5" w:rsidRPr="00FE1D88" w:rsidRDefault="00C05CB5" w:rsidP="00C05CB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275C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ՀԱՆՐԱՊԵՏՈՒԹՅՈՒՆՈՒՄ ՍՏՈՒԳՈՒՄՆԵՐԻ ԿԱԶՄԱԿԵՐՊՄԱՆ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C4275C">
        <w:rPr>
          <w:rFonts w:ascii="GHEA Grapalat" w:hAnsi="GHEA Grapalat"/>
          <w:b/>
          <w:sz w:val="24"/>
          <w:szCs w:val="24"/>
          <w:lang w:val="hy-AM"/>
        </w:rPr>
        <w:t xml:space="preserve"> ԱՆՑԿԱՑՄԱՆ ՄԱՍԻՆ ՕՐԵՆՔՈՒՄ ՓՈՓՈԽՈՒԹՅՈՒՆՆԵՐ ԵՎ ԼՐԱՑՈՒՄ ԿԱՏԱՐԵԼՈՒ ՄԱՍԻՆ» ՕՐԵՆՔԻ ՆԱԽԱԳԾԻ</w:t>
      </w:r>
      <w:r w:rsidR="00DF05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E1D88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DF05B7" w:rsidRPr="00C4275C" w:rsidRDefault="00DF05B7" w:rsidP="00C05CB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5CB5" w:rsidRPr="00C4275C" w:rsidRDefault="00C05CB5" w:rsidP="00C05CB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4275C">
        <w:rPr>
          <w:rFonts w:ascii="GHEA Grapalat" w:hAnsi="GHEA Grapalat"/>
          <w:sz w:val="24"/>
          <w:szCs w:val="24"/>
          <w:lang w:val="hy-AM"/>
        </w:rPr>
        <w:tab/>
      </w:r>
    </w:p>
    <w:p w:rsidR="00C05CB5" w:rsidRPr="006241FB" w:rsidRDefault="00C05CB5" w:rsidP="003A0193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1. Ընթացիկ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իրավիճակը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և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իրավական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ակտի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ընդունման</w:t>
      </w:r>
      <w:r w:rsidRPr="006241FB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6241FB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անհրաժեշտությունը. </w:t>
      </w:r>
    </w:p>
    <w:p w:rsidR="00C05CB5" w:rsidRPr="006241FB" w:rsidRDefault="00E1444E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2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CB5" w:rsidRPr="006241FB">
        <w:rPr>
          <w:rFonts w:ascii="GHEA Grapalat" w:hAnsi="GHEA Grapalat"/>
          <w:sz w:val="24"/>
          <w:szCs w:val="24"/>
          <w:lang w:val="hy-AM"/>
        </w:rPr>
        <w:t>Հայաստանի Հանրապետությունում ստուգումների կազմակերպման և անցկացման մասին օրենքի (այսուհետ՝ Օրենք) 1-ին հոդվածի համաձայն՝ ստուգման ենթակա են ՀՀ-ում փաստացի գործունեություն ծավալող սուբյեկտները, իսկ քաղաքաշինության բնագավառում՝ քաղաքաշինական օբյեկտները։</w:t>
      </w:r>
    </w:p>
    <w:p w:rsidR="00C05CB5" w:rsidRPr="006241FB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241FB">
        <w:rPr>
          <w:rFonts w:ascii="GHEA Grapalat" w:hAnsi="GHEA Grapalat"/>
          <w:sz w:val="24"/>
          <w:szCs w:val="24"/>
          <w:lang w:val="hy-AM"/>
        </w:rPr>
        <w:t>ՀՀ քաղաքաշինության, տեխնիկական և հրդեհային անվտանգության տեսչական մարմինը (այսուհետ՝ Տեսչական մարմին)</w:t>
      </w:r>
      <w:r w:rsidR="00DF05B7" w:rsidRPr="006241FB">
        <w:rPr>
          <w:rFonts w:ascii="GHEA Grapalat" w:hAnsi="GHEA Grapalat"/>
          <w:sz w:val="24"/>
          <w:szCs w:val="24"/>
          <w:lang w:val="hy-AM"/>
        </w:rPr>
        <w:t>,</w:t>
      </w:r>
      <w:r w:rsidRPr="0062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10A" w:rsidRPr="006241FB">
        <w:rPr>
          <w:rFonts w:ascii="GHEA Grapalat" w:hAnsi="GHEA Grapalat"/>
          <w:sz w:val="24"/>
          <w:szCs w:val="24"/>
          <w:lang w:val="hy-AM"/>
        </w:rPr>
        <w:t xml:space="preserve">տեխնիկական և հրդեհային անվտանգության բնագավառում </w:t>
      </w:r>
      <w:r w:rsidRPr="006241FB">
        <w:rPr>
          <w:rFonts w:ascii="GHEA Grapalat" w:hAnsi="GHEA Grapalat"/>
          <w:sz w:val="24"/>
          <w:szCs w:val="24"/>
          <w:lang w:val="hy-AM"/>
        </w:rPr>
        <w:t>իր վերահսկողական գործառույթներն իրականացնելիս</w:t>
      </w:r>
      <w:r w:rsidR="00DF05B7" w:rsidRPr="006241FB">
        <w:rPr>
          <w:rFonts w:ascii="GHEA Grapalat" w:hAnsi="GHEA Grapalat"/>
          <w:sz w:val="24"/>
          <w:szCs w:val="24"/>
          <w:lang w:val="hy-AM"/>
        </w:rPr>
        <w:t>,</w:t>
      </w:r>
      <w:r w:rsidRPr="006241FB">
        <w:rPr>
          <w:rFonts w:ascii="GHEA Grapalat" w:hAnsi="GHEA Grapalat"/>
          <w:sz w:val="24"/>
          <w:szCs w:val="24"/>
          <w:lang w:val="hy-AM"/>
        </w:rPr>
        <w:t xml:space="preserve"> հաճախակի առնչվում է հանգամանքների, որոնք խանգարում են գործընթացին, իսկ շատ դեպքերում դարձնում այն անիրականանալի՝ օրենսդրական պահանջների խախտումները բացառելու պայմանով։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Մասնավորապես, Օրենքի համաձայն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՝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ստուգումները տնտեսվարողների մոտ պետք է իրականացվեն ստուգումների տարեկան ծրագրով (բացառություններին չենք անդրադառնում), որը սահմանված կարգով հաստատվելուց հետո հրապարակվում է ստուգումներ իրականացնող մարմնի պաշտոնական </w:t>
      </w:r>
      <w:r w:rsidR="002B0082" w:rsidRPr="00811E28">
        <w:rPr>
          <w:rFonts w:ascii="GHEA Grapalat" w:hAnsi="GHEA Grapalat"/>
          <w:sz w:val="24"/>
          <w:szCs w:val="24"/>
          <w:lang w:val="hy-AM"/>
        </w:rPr>
        <w:t>կայքում</w:t>
      </w:r>
      <w:r w:rsidRPr="00811E28">
        <w:rPr>
          <w:rFonts w:ascii="GHEA Grapalat" w:hAnsi="GHEA Grapalat"/>
          <w:sz w:val="24"/>
          <w:szCs w:val="24"/>
          <w:lang w:val="hy-AM"/>
        </w:rPr>
        <w:t>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Գործնականում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,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մի քանի տասնյակից ավել են դեպքերը, երբ Տեսչական մարմինը չի կարող իրականացնել իր ստուգողական գործառույթները, քանի որ ստուգման ենթակա (տարեկան ծրագրով նախատեսված) սուբ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յ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եկտի </w:t>
      </w:r>
      <w:r w:rsidRPr="00811E28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պաշտոնատար անձինք, նախապես՝ Տեսչական մարմնի պաշտոնական կայքէջից տեղեկանալով, որ տվյալ սուբյեկտն ընգրկված է ստուգումների 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տարեկան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ծրագրի մեջ, կատարում </w:t>
      </w:r>
      <w:r w:rsidR="006E381C" w:rsidRPr="00811E28">
        <w:rPr>
          <w:rFonts w:ascii="GHEA Grapalat" w:hAnsi="GHEA Grapalat"/>
          <w:sz w:val="24"/>
          <w:szCs w:val="24"/>
          <w:lang w:val="hy-AM"/>
        </w:rPr>
        <w:t>են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տնտեսավարող սուբյեկտի փոփոխություն (անվանում և ՀՎՀՀ), որի արդյունքում ստացվում է, որ այն 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տնտես</w:t>
      </w:r>
      <w:r w:rsidRPr="00811E28">
        <w:rPr>
          <w:rFonts w:ascii="GHEA Grapalat" w:hAnsi="GHEA Grapalat"/>
          <w:sz w:val="24"/>
          <w:szCs w:val="24"/>
          <w:lang w:val="hy-AM"/>
        </w:rPr>
        <w:t>վարող սուբյեկտը, որի գործունեությունը պետք է ստուգվեր, փաստացի այլևս չկա, իսկ դրա փոխարեն գոր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ծ</w:t>
      </w:r>
      <w:r w:rsidRPr="00811E28">
        <w:rPr>
          <w:rFonts w:ascii="GHEA Grapalat" w:hAnsi="GHEA Grapalat"/>
          <w:sz w:val="24"/>
          <w:szCs w:val="24"/>
          <w:lang w:val="hy-AM"/>
        </w:rPr>
        <w:t>ում է մեկ այլ սուբյեկտ, որն ընդգրկվ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ա</w:t>
      </w:r>
      <w:r w:rsidRPr="00811E28">
        <w:rPr>
          <w:rFonts w:ascii="GHEA Grapalat" w:hAnsi="GHEA Grapalat"/>
          <w:sz w:val="24"/>
          <w:szCs w:val="24"/>
          <w:lang w:val="hy-AM"/>
        </w:rPr>
        <w:t>ծ չէ ստուգումների տարեկան ծրագրում։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 xml:space="preserve">Մեկ այլ </w:t>
      </w:r>
      <w:r w:rsidR="00DF05B7" w:rsidRPr="00811E28">
        <w:rPr>
          <w:rFonts w:ascii="GHEA Grapalat" w:hAnsi="GHEA Grapalat"/>
          <w:sz w:val="24"/>
          <w:szCs w:val="24"/>
          <w:lang w:val="hy-AM"/>
        </w:rPr>
        <w:t>դեպք</w:t>
      </w:r>
      <w:r w:rsidRPr="00811E28">
        <w:rPr>
          <w:rFonts w:ascii="GHEA Grapalat" w:hAnsi="GHEA Grapalat"/>
          <w:sz w:val="24"/>
          <w:szCs w:val="24"/>
          <w:lang w:val="hy-AM"/>
        </w:rPr>
        <w:t>ում</w:t>
      </w:r>
      <w:r w:rsidR="00526AA3" w:rsidRPr="00811E28">
        <w:rPr>
          <w:rFonts w:ascii="GHEA Grapalat" w:hAnsi="GHEA Grapalat"/>
          <w:sz w:val="24"/>
          <w:szCs w:val="24"/>
          <w:lang w:val="hy-AM"/>
        </w:rPr>
        <w:t>՝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ստուգման ենթակա սուբյեկտը վարձակալական հիմունքներով տեղակայված է ֆիզիկական անձին սեփականության իրավունքով պատկանող օբ</w:t>
      </w:r>
      <w:r w:rsidR="00D70C84" w:rsidRPr="00811E28">
        <w:rPr>
          <w:rFonts w:ascii="GHEA Grapalat" w:hAnsi="GHEA Grapalat"/>
          <w:sz w:val="24"/>
          <w:szCs w:val="24"/>
          <w:lang w:val="hy-AM"/>
        </w:rPr>
        <w:t>յ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եկտում։ </w:t>
      </w:r>
      <w:r w:rsidRPr="00811E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տարածքային կառավարման և արտակարգ իրավիճակների նախարարի 2015 թվականի հունիսի 18-ի N 595-Ն հրամանով հաստատված </w:t>
      </w:r>
      <w:r w:rsidR="00684961" w:rsidRPr="00811E2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811E28">
        <w:rPr>
          <w:rFonts w:ascii="GHEA Grapalat" w:eastAsia="Times New Roman" w:hAnsi="GHEA Grapalat" w:cs="Times New Roman"/>
          <w:sz w:val="24"/>
          <w:szCs w:val="24"/>
          <w:lang w:val="hy-AM"/>
        </w:rPr>
        <w:t>Հրդեհային անվտանգության կանոնների</w:t>
      </w:r>
      <w:r w:rsidR="00684961" w:rsidRPr="00811E2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811E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6-րդ կետի համաձայն՝ </w:t>
      </w:r>
      <w:r w:rsidRPr="00811E28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Վարձակալված շենքերում տեղավորված օբյեկտներում հրդեհային անվտանգության ապահովումը կարգավորվում է վարձակալության պայմանագրով։ Պայմանագրում նշված տեղեկությունների բացակայության դեպքում պատասխանատվությունը կրում է վարձատուն։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Տվյալ դեպքերում ստուգումը չի կարող իրականացվել, քանի որ օբ</w:t>
      </w:r>
      <w:r w:rsidR="00443EDC" w:rsidRPr="00811E28">
        <w:rPr>
          <w:rFonts w:ascii="GHEA Grapalat" w:hAnsi="GHEA Grapalat"/>
          <w:sz w:val="24"/>
          <w:szCs w:val="24"/>
          <w:lang w:val="hy-AM"/>
        </w:rPr>
        <w:t>յ</w:t>
      </w:r>
      <w:r w:rsidRPr="00811E28">
        <w:rPr>
          <w:rFonts w:ascii="GHEA Grapalat" w:hAnsi="GHEA Grapalat"/>
          <w:sz w:val="24"/>
          <w:szCs w:val="24"/>
          <w:lang w:val="hy-AM"/>
        </w:rPr>
        <w:t>եկտը ֆիզիկական անձ հանդիսացող սեփականատիրոջ կողմից վարձակալական հիմունքներով է հանձնված ստուգման ենթակա սուբյեկտին, որը վարձակալության պայմանագրով չի հանդիսանում հրդեհային անվտանգության պատասխանատու, իսկ ֆիզիկական անձը Օրենքի համաձայն չի հանդիսանում ստուգման ենթակա սուբյեկտ։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Արդյունքում</w:t>
      </w:r>
      <w:r w:rsidR="00526AA3" w:rsidRPr="00811E28">
        <w:rPr>
          <w:rFonts w:ascii="GHEA Grapalat" w:hAnsi="GHEA Grapalat"/>
          <w:sz w:val="24"/>
          <w:szCs w:val="24"/>
          <w:lang w:val="hy-AM"/>
        </w:rPr>
        <w:t>՝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որոշ ստուգումներ կա՛մ ամբողջովին խաթարվում են, կա՛մ տեղափոխվում հաջորդ տարվա ստուգումների ծրագիր, կա՛մ (լավագույն դեպքում) իրականացվում, սակայն ուշացումով և այլ իրավական հիմքերով</w:t>
      </w:r>
      <w:r w:rsidR="0033310A" w:rsidRPr="00811E28">
        <w:rPr>
          <w:rFonts w:ascii="GHEA Grapalat" w:hAnsi="GHEA Grapalat"/>
          <w:sz w:val="24"/>
          <w:szCs w:val="24"/>
          <w:lang w:val="hy-AM"/>
        </w:rPr>
        <w:t>։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 xml:space="preserve">Ավելին, Հրդեհային անվտանգության մասին օրենքի 20-րդ հոդվածի 2-րդ մասի դ կետի համաձայն՝ </w:t>
      </w:r>
      <w:r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 պաշտոնատար անձինք</w:t>
      </w:r>
      <w:r w:rsidR="00526AA3"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</w:t>
      </w:r>
      <w:r w:rsidRPr="00811E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հրդեհային</w:t>
      </w:r>
      <w:r w:rsidRPr="00811E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հսկողություն իրականացնելիս</w:t>
      </w:r>
      <w:r w:rsidR="00526AA3"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811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իրավունք ունեն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հրդեհային անվտանգության նորմատիվ փաստաթղթերի պահանջների կատարման և </w:t>
      </w:r>
      <w:r w:rsidRPr="00811E28">
        <w:rPr>
          <w:rFonts w:ascii="GHEA Grapalat" w:hAnsi="GHEA Grapalat"/>
          <w:sz w:val="24"/>
          <w:szCs w:val="24"/>
          <w:lang w:val="hy-AM"/>
        </w:rPr>
        <w:lastRenderedPageBreak/>
        <w:t xml:space="preserve">խախտումների կանխարգելման ուղղությամբ հսկողություն իրականացնելու նպատակով օրենսդրությամբ սահմանված կարգով անցկացնել տարածքների, շենքերի, կառույցների, շինությունների և այլ </w:t>
      </w:r>
      <w:r w:rsidRPr="00811E28">
        <w:rPr>
          <w:rFonts w:ascii="GHEA Grapalat" w:hAnsi="GHEA Grapalat"/>
          <w:b/>
          <w:i/>
          <w:sz w:val="24"/>
          <w:szCs w:val="24"/>
          <w:u w:val="single"/>
          <w:lang w:val="hy-AM"/>
        </w:rPr>
        <w:t>օբյեկտների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հետազոտություններ ու ստուգումներ։ Այսինքն՝ ոլորտը համակարգող օրենքը ստուգումները նախատեսում է իրականացնել օբյեկտներում, ոչ թե սուբյեկտների մոտ։ Տրամաբանությունն այն է, որ ռիսկայնության տեսանկյունից և վտանգավարության աստիճանով կարևորություն է ներկայացնում օբյեկտը, ոչ թե սուբյեկտը։</w:t>
      </w:r>
    </w:p>
    <w:p w:rsidR="00D56AAA" w:rsidRPr="00811E28" w:rsidRDefault="00D56AAA" w:rsidP="00D56AA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 xml:space="preserve">Բացի այդ, Օրենքի 3-րդ հոդվածի 3-րդ մասի համաձայն՝ ստուգման հրամանի կամ հանձնարարագրի երկու օրինակը, ստուգումը սկսելուց առնվազն 3 աշխատանքային օր առաջ, պատշաճ ձևով (առձեռն կամ փոստով) ներկայացվում է տնտեսավարող սուբյեկտի ղեկավարին կամ նրան փոխարինող պաշտոնատար անձին։ Նշված պաշտոնատար անձինք, նախապես ստանալով հանձնարարագիրը և տեղեկանալով ստուգումների անցկացման մասին, ժամանակավորապես կասեցնում են իրենց գործունեությունը (տնտեսավարող սուբյեկտի գործունեության կարգավիճակի մասին կարելի է տեղեկություն ստանալ ՀՀ ՊԵԿ հարկ վճարողների փնտրման համակարգից)՝ այդպիսով փաստացի խուսափելով ստուգումից։ </w:t>
      </w:r>
    </w:p>
    <w:p w:rsidR="00C05CB5" w:rsidRPr="00811E28" w:rsidRDefault="00A81876" w:rsidP="0074080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r w:rsidRPr="00811E28">
        <w:rPr>
          <w:rFonts w:ascii="GHEA Grapalat" w:hAnsi="GHEA Grapalat" w:cs="Arial"/>
          <w:sz w:val="24"/>
          <w:lang w:val="hy-AM"/>
        </w:rPr>
        <w:t xml:space="preserve">2021 թվականի ստուգումների գործունեության տարեկան ծրագրով նախատեսված 452 </w:t>
      </w:r>
      <w:r w:rsidR="00334DE1" w:rsidRPr="00811E28">
        <w:rPr>
          <w:rFonts w:ascii="GHEA Grapalat" w:hAnsi="GHEA Grapalat" w:cs="Arial"/>
          <w:sz w:val="24"/>
          <w:lang w:val="hy-AM"/>
        </w:rPr>
        <w:t xml:space="preserve">օբյեկտներից </w:t>
      </w:r>
      <w:r w:rsidRPr="00811E28">
        <w:rPr>
          <w:rFonts w:ascii="GHEA Grapalat" w:hAnsi="GHEA Grapalat" w:cs="Arial"/>
          <w:sz w:val="24"/>
          <w:lang w:val="hy-AM"/>
        </w:rPr>
        <w:t>վարձակալության պայմանագիր ունեցող 25 օբյեկտ</w:t>
      </w:r>
      <w:r w:rsidR="00AC6881" w:rsidRPr="00811E28">
        <w:rPr>
          <w:rFonts w:ascii="GHEA Grapalat" w:hAnsi="GHEA Grapalat" w:cs="Arial"/>
          <w:sz w:val="24"/>
          <w:lang w:val="hy-AM"/>
        </w:rPr>
        <w:t xml:space="preserve"> չի ստուգվել</w:t>
      </w:r>
      <w:r w:rsidR="0063162A" w:rsidRPr="00811E28">
        <w:rPr>
          <w:rFonts w:ascii="GHEA Grapalat" w:hAnsi="GHEA Grapalat" w:cs="Arial"/>
          <w:sz w:val="24"/>
          <w:lang w:val="hy-AM"/>
        </w:rPr>
        <w:t>:</w:t>
      </w:r>
      <w:r w:rsidR="003873B1" w:rsidRPr="00811E28">
        <w:rPr>
          <w:rFonts w:ascii="GHEA Grapalat" w:hAnsi="GHEA Grapalat" w:cs="Arial"/>
          <w:sz w:val="24"/>
          <w:lang w:val="hy-AM"/>
        </w:rPr>
        <w:t xml:space="preserve"> </w:t>
      </w:r>
      <w:r w:rsidRPr="00811E28">
        <w:rPr>
          <w:rFonts w:ascii="GHEA Grapalat" w:hAnsi="GHEA Grapalat" w:cs="Arial"/>
          <w:sz w:val="24"/>
          <w:lang w:val="hy-AM"/>
        </w:rPr>
        <w:t xml:space="preserve">2022 թվականի առաջին եռամսյակի ընթացքում նախատեսված 154 </w:t>
      </w:r>
      <w:r w:rsidR="00334DE1" w:rsidRPr="00811E28">
        <w:rPr>
          <w:rFonts w:ascii="GHEA Grapalat" w:hAnsi="GHEA Grapalat" w:cs="Arial"/>
          <w:sz w:val="24"/>
          <w:lang w:val="hy-AM"/>
        </w:rPr>
        <w:t>օբյեկտներից</w:t>
      </w:r>
      <w:r w:rsidR="00AC6881" w:rsidRPr="00811E28">
        <w:rPr>
          <w:rFonts w:ascii="GHEA Grapalat" w:hAnsi="GHEA Grapalat" w:cs="Arial"/>
          <w:sz w:val="24"/>
          <w:lang w:val="hy-AM"/>
        </w:rPr>
        <w:t xml:space="preserve"> </w:t>
      </w:r>
      <w:r w:rsidRPr="00811E28">
        <w:rPr>
          <w:rFonts w:ascii="GHEA Grapalat" w:hAnsi="GHEA Grapalat" w:cs="Arial"/>
          <w:sz w:val="24"/>
          <w:lang w:val="hy-AM"/>
        </w:rPr>
        <w:t>վարձակալության պայմանագիր ունեցող 11 օբյեկտ</w:t>
      </w:r>
      <w:r w:rsidR="00AC6881" w:rsidRPr="00811E28">
        <w:rPr>
          <w:rFonts w:ascii="GHEA Grapalat" w:hAnsi="GHEA Grapalat" w:cs="Arial"/>
          <w:sz w:val="24"/>
          <w:lang w:val="hy-AM"/>
        </w:rPr>
        <w:t xml:space="preserve"> չի ստուգվել</w:t>
      </w:r>
      <w:r w:rsidR="00334DE1" w:rsidRPr="00811E28">
        <w:rPr>
          <w:rFonts w:ascii="GHEA Grapalat" w:hAnsi="GHEA Grapalat" w:cs="Arial"/>
          <w:sz w:val="24"/>
          <w:lang w:val="hy-AM"/>
        </w:rPr>
        <w:t xml:space="preserve">, իսկ </w:t>
      </w:r>
      <w:r w:rsidRPr="00811E28">
        <w:rPr>
          <w:rFonts w:ascii="GHEA Grapalat" w:hAnsi="GHEA Grapalat" w:cs="Arial"/>
          <w:sz w:val="24"/>
          <w:lang w:val="hy-AM"/>
        </w:rPr>
        <w:t xml:space="preserve">22 օբյեկտ չի ստուգվել չգործելու, ժամանակավոր չգործելու և սնանկության պատճառով։ 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Հաշվի առնելով հրդեհային և տեխնիկական անվտանգության ոլորտի վտանգավորության աստիճանը և վերը նշված հանգամանքները</w:t>
      </w:r>
      <w:r w:rsidR="00684961" w:rsidRPr="00811E28">
        <w:rPr>
          <w:rFonts w:ascii="GHEA Grapalat" w:hAnsi="GHEA Grapalat"/>
          <w:sz w:val="24"/>
          <w:szCs w:val="24"/>
          <w:lang w:val="hy-AM"/>
        </w:rPr>
        <w:t>՝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81FA0" w:rsidRPr="00811E28">
        <w:rPr>
          <w:rFonts w:ascii="GHEA Grapalat" w:hAnsi="GHEA Grapalat"/>
          <w:sz w:val="24"/>
          <w:szCs w:val="24"/>
          <w:lang w:val="hy-AM"/>
        </w:rPr>
        <w:t>Ն</w:t>
      </w:r>
      <w:r w:rsidRPr="00811E28">
        <w:rPr>
          <w:rFonts w:ascii="GHEA Grapalat" w:hAnsi="GHEA Grapalat"/>
          <w:sz w:val="24"/>
          <w:szCs w:val="24"/>
          <w:lang w:val="hy-AM"/>
        </w:rPr>
        <w:t>ախագծով նախատեսվում է հրդեհային և տեխնիկական անվտանգության ոլորտի ստուգումներն իրականցնել օբյեկտներում և առանց նախնական ծանուցման։</w:t>
      </w:r>
    </w:p>
    <w:p w:rsidR="00A75C23" w:rsidRPr="00811E28" w:rsidRDefault="00A75C23" w:rsidP="00A75C23">
      <w:pPr>
        <w:spacing w:after="0" w:line="360" w:lineRule="auto"/>
        <w:ind w:firstLine="720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bookmarkStart w:id="0" w:name="_GoBack"/>
      <w:r w:rsidRPr="00811E28">
        <w:rPr>
          <w:rFonts w:ascii="GHEA Grapalat" w:hAnsi="GHEA Grapalat"/>
          <w:sz w:val="24"/>
          <w:szCs w:val="24"/>
          <w:lang w:val="hy-AM"/>
        </w:rPr>
        <w:lastRenderedPageBreak/>
        <w:t xml:space="preserve">Միաժամանակ, «Հայաստանի Հանրապետությունում ստուգումների կազմակերպման և անցկացման մասին» օրենքի 2.1-րդ հոդվածի </w:t>
      </w:r>
      <w:r w:rsidRPr="00811E28">
        <w:rPr>
          <w:rFonts w:ascii="GHEA Grapalat" w:hAnsi="GHEA Grapalat"/>
          <w:sz w:val="24"/>
          <w:szCs w:val="24"/>
          <w:lang w:val="af-ZA"/>
        </w:rPr>
        <w:t>1-ին կետի 3-րդ պարբերությ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ան համաձայն՝ </w:t>
      </w:r>
      <w:r w:rsidRPr="00811E28">
        <w:rPr>
          <w:rFonts w:ascii="GHEA Grapalat" w:hAnsi="GHEA Grapalat"/>
          <w:i/>
          <w:sz w:val="24"/>
          <w:szCs w:val="24"/>
          <w:lang w:val="hy-AM"/>
        </w:rPr>
        <w:t>ռիսկի վրա հիմնված ստուգումների մեթոդաբանությունը և ռիսկայնությունը որոշող չափանիշների ընդհանուր</w:t>
      </w:r>
      <w:r w:rsidRPr="00811E28">
        <w:rPr>
          <w:rFonts w:ascii="Calibri" w:hAnsi="Calibri" w:cs="Calibri"/>
          <w:i/>
          <w:sz w:val="24"/>
          <w:szCs w:val="24"/>
          <w:lang w:val="hy-AM"/>
        </w:rPr>
        <w:t> </w:t>
      </w:r>
      <w:hyperlink r:id="rId5" w:history="1">
        <w:r w:rsidRPr="00811E28">
          <w:rPr>
            <w:rFonts w:ascii="GHEA Grapalat" w:hAnsi="GHEA Grapalat"/>
            <w:i/>
            <w:sz w:val="24"/>
            <w:szCs w:val="24"/>
            <w:lang w:val="hy-AM"/>
          </w:rPr>
          <w:t>նկարագիրը</w:t>
        </w:r>
      </w:hyperlink>
      <w:r w:rsidRPr="00811E28">
        <w:rPr>
          <w:rFonts w:ascii="Calibri" w:hAnsi="Calibri" w:cs="Calibri"/>
          <w:i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i/>
          <w:sz w:val="24"/>
          <w:szCs w:val="24"/>
          <w:lang w:val="hy-AM"/>
        </w:rPr>
        <w:t xml:space="preserve">հաստատում է Հայաստանի Հանրապետության կառավարությունը, իսկ դրանց հաշվարկման և գնահատման կարգը հաստատում է ստուգում իրականացնող պետական մարմինը: 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Վերոգրյալ կարգավորման հիման վրա ՀՀ կառավարության կողմից մշակվել և հաստատվել են տեսչական մարմինների </w:t>
      </w:r>
      <w:r w:rsidRPr="00811E28">
        <w:rPr>
          <w:rFonts w:ascii="GHEA Grapalat" w:hAnsi="GHEA Grapalat"/>
          <w:bCs/>
          <w:sz w:val="24"/>
          <w:szCs w:val="24"/>
          <w:lang w:val="hy-AM"/>
        </w:rPr>
        <w:t xml:space="preserve">կողմից իրականացվող` ռիսկի վրա հիմնված ստուգումների </w:t>
      </w:r>
      <w:r w:rsidRPr="00811E28">
        <w:rPr>
          <w:rFonts w:ascii="GHEA Grapalat" w:hAnsi="GHEA Grapalat"/>
          <w:sz w:val="24"/>
          <w:szCs w:val="24"/>
          <w:lang w:val="hy-AM"/>
        </w:rPr>
        <w:t>մեթոդաբանությունը</w:t>
      </w:r>
      <w:r w:rsidRPr="00811E28">
        <w:rPr>
          <w:rFonts w:ascii="Calibri" w:hAnsi="Calibri" w:cs="Calibri"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sz w:val="24"/>
          <w:szCs w:val="24"/>
          <w:lang w:val="hy-AM"/>
        </w:rPr>
        <w:t>և</w:t>
      </w:r>
      <w:r w:rsidRPr="00811E28">
        <w:rPr>
          <w:rFonts w:ascii="Calibri" w:hAnsi="Calibri" w:cs="Calibri"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sz w:val="24"/>
          <w:szCs w:val="24"/>
          <w:lang w:val="hy-AM"/>
        </w:rPr>
        <w:t>ռիսկայնությունը</w:t>
      </w:r>
      <w:r w:rsidRPr="00811E28">
        <w:rPr>
          <w:rFonts w:ascii="Calibri" w:hAnsi="Calibri" w:cs="Calibri"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sz w:val="24"/>
          <w:szCs w:val="24"/>
          <w:lang w:val="hy-AM"/>
        </w:rPr>
        <w:t>որոշող</w:t>
      </w:r>
      <w:r w:rsidRPr="00811E28">
        <w:rPr>
          <w:rFonts w:ascii="Calibri" w:hAnsi="Calibri" w:cs="Calibri"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sz w:val="24"/>
          <w:szCs w:val="24"/>
          <w:lang w:val="hy-AM"/>
        </w:rPr>
        <w:t>չափանիշների</w:t>
      </w:r>
      <w:r w:rsidRPr="00811E28">
        <w:rPr>
          <w:rFonts w:ascii="GHEA Grapalat" w:hAnsi="GHEA Grapalat"/>
          <w:bCs/>
          <w:sz w:val="24"/>
          <w:szCs w:val="24"/>
          <w:lang w:val="hy-AM"/>
        </w:rPr>
        <w:t xml:space="preserve"> ընդհանուր նկարագիրը հաստատող կառավարության որոշումներ </w:t>
      </w:r>
      <w:r w:rsidRPr="00811E28">
        <w:rPr>
          <w:rFonts w:ascii="GHEA Grapalat" w:hAnsi="GHEA Grapalat"/>
          <w:bCs/>
          <w:i/>
          <w:sz w:val="24"/>
          <w:szCs w:val="24"/>
          <w:lang w:val="hy-AM"/>
        </w:rPr>
        <w:t xml:space="preserve">/Հայաստանի Հանրապետության կառավարության՝ 22.08.2019թ. թիվ N 1125-Ն, </w:t>
      </w:r>
      <w:r w:rsidRPr="00811E28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bCs/>
          <w:i/>
          <w:sz w:val="24"/>
          <w:szCs w:val="24"/>
          <w:lang w:val="hy-AM"/>
        </w:rPr>
        <w:t xml:space="preserve">N 1153-Ն, </w:t>
      </w:r>
      <w:r w:rsidRPr="00811E28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811E28">
        <w:rPr>
          <w:rFonts w:ascii="GHEA Grapalat" w:hAnsi="GHEA Grapalat"/>
          <w:bCs/>
          <w:i/>
          <w:sz w:val="24"/>
          <w:szCs w:val="24"/>
          <w:lang w:val="hy-AM"/>
        </w:rPr>
        <w:t xml:space="preserve">N 1124-Ն, 14.11.2019թ. N 1570-Ն և 28.11.2019 թվականի N 1697-Ն և 28.11.2019թ. N 1687-Ն որոշումներ/, </w:t>
      </w:r>
      <w:r w:rsidRPr="00811E28">
        <w:rPr>
          <w:rFonts w:ascii="GHEA Grapalat" w:hAnsi="GHEA Grapalat"/>
          <w:bCs/>
          <w:sz w:val="24"/>
          <w:szCs w:val="24"/>
          <w:lang w:val="hy-AM"/>
        </w:rPr>
        <w:t>որոնց մեջ արդեն իսկ ներառված են նաև</w:t>
      </w:r>
      <w:r w:rsidRPr="00811E28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811E28">
        <w:rPr>
          <w:rFonts w:ascii="GHEA Grapalat" w:hAnsi="GHEA Grapalat"/>
          <w:bCs/>
          <w:sz w:val="24"/>
          <w:szCs w:val="24"/>
          <w:lang w:val="hy-AM"/>
        </w:rPr>
        <w:t>ռիսկայնությունը որոշող չափանիշների</w:t>
      </w:r>
      <w:r w:rsidRPr="00811E28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811E28">
        <w:rPr>
          <w:rFonts w:ascii="GHEA Grapalat" w:hAnsi="GHEA Grapalat"/>
          <w:bCs/>
          <w:sz w:val="24"/>
          <w:szCs w:val="24"/>
          <w:lang w:val="hy-AM"/>
        </w:rPr>
        <w:t>հաշվարկման և գնահատման կարգերը, քանի որ դրանք, ըստ էության, փոխկապակցված են միմյանց հետ, սակայն, գործող հոդվածը հաշվի առնելով, տեսչական մարմինների ղեկավարները ստիպված են իրենց հրամաններով հաստատել ռիսկայնությունը որոշող չափանիշների հաշվարկման և գնահատման կարգը, որն արդեն իսկ սահմանված է ՀՀ կառավարության որոշմամբ և որի անհրաժեշտությունը բացակայում է:</w:t>
      </w:r>
    </w:p>
    <w:bookmarkEnd w:id="0"/>
    <w:p w:rsidR="00A75C23" w:rsidRPr="00811E28" w:rsidRDefault="00A75C23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670CD" w:rsidRPr="00811E28" w:rsidRDefault="00B670CD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444E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E28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33310A" w:rsidRPr="00811E28">
        <w:rPr>
          <w:rFonts w:ascii="GHEA Grapalat" w:hAnsi="GHEA Grapalat" w:cs="Times New Roman"/>
          <w:b/>
          <w:noProof/>
          <w:sz w:val="24"/>
          <w:szCs w:val="24"/>
          <w:lang w:val="hy-AM"/>
        </w:rPr>
        <w:t>Նախագծի</w:t>
      </w:r>
      <w:r w:rsidRPr="00811E28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անձինք. </w:t>
      </w:r>
    </w:p>
    <w:p w:rsidR="00C05CB5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Նախագիծը մշակվել է Վարչապետի աշխատակազմի տեսչական մարմինների աշխատանքների համակարգման գրասենյակի և Քաղաքաշինության, տեխնիկական և հրդեհային անվտանգության տեսչական մարմնի կողմից։</w:t>
      </w:r>
    </w:p>
    <w:p w:rsidR="00684961" w:rsidRPr="00811E28" w:rsidRDefault="00684961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1444E" w:rsidRPr="00811E28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E28">
        <w:rPr>
          <w:rFonts w:ascii="GHEA Grapalat" w:hAnsi="GHEA Grapalat"/>
          <w:b/>
          <w:sz w:val="24"/>
          <w:szCs w:val="24"/>
          <w:lang w:val="hy-AM"/>
        </w:rPr>
        <w:t xml:space="preserve">3. Ակնկալվող արդյունքը. </w:t>
      </w:r>
    </w:p>
    <w:p w:rsidR="00C05CB5" w:rsidRPr="006241FB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E28">
        <w:rPr>
          <w:rFonts w:ascii="GHEA Grapalat" w:hAnsi="GHEA Grapalat"/>
          <w:sz w:val="24"/>
          <w:szCs w:val="24"/>
          <w:lang w:val="hy-AM"/>
        </w:rPr>
        <w:t>Նախագծի ընդունման արդյունքում Քաղաքաշինության, տեխնիկական և հրդեհային անվտանգության տեսչական մարմինը</w:t>
      </w:r>
      <w:r w:rsidR="00BF446D" w:rsidRPr="00811E28">
        <w:rPr>
          <w:rFonts w:ascii="GHEA Grapalat" w:hAnsi="GHEA Grapalat"/>
          <w:sz w:val="24"/>
          <w:szCs w:val="24"/>
          <w:lang w:val="hy-AM"/>
        </w:rPr>
        <w:t>,</w:t>
      </w:r>
      <w:r w:rsidR="0033310A" w:rsidRPr="00811E28">
        <w:rPr>
          <w:rFonts w:ascii="GHEA Grapalat" w:hAnsi="GHEA Grapalat"/>
          <w:sz w:val="24"/>
          <w:szCs w:val="24"/>
          <w:lang w:val="hy-AM"/>
        </w:rPr>
        <w:t xml:space="preserve"> առաջնորդվելով օբյեկտի ռիսկայնության աստիճանից՝ միևնույն ժամանակ չբացառելով</w:t>
      </w:r>
      <w:r w:rsidR="00CD3B38" w:rsidRPr="00811E28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33310A" w:rsidRPr="00811E28">
        <w:rPr>
          <w:rFonts w:ascii="GHEA Grapalat" w:hAnsi="GHEA Grapalat"/>
          <w:sz w:val="24"/>
          <w:szCs w:val="24"/>
          <w:lang w:val="hy-AM"/>
        </w:rPr>
        <w:t xml:space="preserve"> սուբյեկտի ռիսկայնության աստիճանը, </w:t>
      </w:r>
      <w:r w:rsidRPr="00811E28">
        <w:rPr>
          <w:rFonts w:ascii="GHEA Grapalat" w:hAnsi="GHEA Grapalat"/>
          <w:sz w:val="24"/>
          <w:szCs w:val="24"/>
          <w:lang w:val="hy-AM"/>
        </w:rPr>
        <w:t xml:space="preserve">հնարավորություն կունենա հրդեհային և տեխնիկական անվտանգությաան ոլորտներում ստուգումներն իրականացնել օբյեկտներում առանց նախնական ծանուցման՝ այդ կերպ ապահովելով ստուգումների բնականոն ընթացքը և նվազագույնի հասցնելով անձանց կյանքին, գույքին և շրջակա միջավայրին սպառնացող </w:t>
      </w:r>
      <w:r w:rsidR="00A75C23" w:rsidRPr="00811E28">
        <w:rPr>
          <w:rFonts w:ascii="GHEA Grapalat" w:hAnsi="GHEA Grapalat"/>
          <w:sz w:val="24"/>
          <w:szCs w:val="24"/>
          <w:lang w:val="hy-AM"/>
        </w:rPr>
        <w:t>վտանգը, ինչպես նաև կսահմանվի դրույթ առ այն, որ ՀՀ կառավարությունը, ռիսկի վրա հիմնված ստուգումների մեթոդաբանությունը և ռիսկայնությունը որոշող չափանիշների ընդհանուր</w:t>
      </w:r>
      <w:r w:rsidR="00A75C23" w:rsidRPr="00811E28">
        <w:rPr>
          <w:rFonts w:ascii="Calibri" w:hAnsi="Calibri" w:cs="Calibri"/>
          <w:sz w:val="24"/>
          <w:szCs w:val="24"/>
          <w:lang w:val="hy-AM"/>
        </w:rPr>
        <w:t> </w:t>
      </w:r>
      <w:r w:rsidR="00A75C23" w:rsidRPr="00811E28">
        <w:rPr>
          <w:rFonts w:ascii="GHEA Grapalat" w:hAnsi="GHEA Grapalat"/>
          <w:sz w:val="24"/>
          <w:szCs w:val="24"/>
          <w:lang w:val="hy-AM"/>
        </w:rPr>
        <w:t xml:space="preserve">նկարագրից զատ հաստատելու է նաև դրանց հաշվարկման և գնահատման կարգը՝ </w:t>
      </w:r>
      <w:r w:rsidR="00A75C23" w:rsidRPr="00811E28">
        <w:rPr>
          <w:rFonts w:ascii="GHEA Grapalat" w:hAnsi="GHEA Grapalat"/>
          <w:i/>
          <w:sz w:val="24"/>
          <w:szCs w:val="24"/>
          <w:lang w:val="hy-AM"/>
        </w:rPr>
        <w:t>վարչապետի աշխատակազմի տեսչական մարմինների աշխատանքների համակարգման գրասենյակի ներկայացմամբ՝</w:t>
      </w:r>
      <w:r w:rsidR="00A75C23" w:rsidRPr="00811E28">
        <w:rPr>
          <w:rFonts w:ascii="GHEA Grapalat" w:hAnsi="GHEA Grapalat"/>
          <w:sz w:val="24"/>
          <w:szCs w:val="24"/>
          <w:lang w:val="hy-AM"/>
        </w:rPr>
        <w:t xml:space="preserve"> ստուգում իրականացնող պետական մարմնի փոխարեն՝ </w:t>
      </w:r>
      <w:r w:rsidR="00A75C23" w:rsidRPr="00811E28">
        <w:rPr>
          <w:rFonts w:ascii="GHEA Grapalat" w:hAnsi="GHEA Grapalat"/>
          <w:i/>
          <w:sz w:val="24"/>
          <w:szCs w:val="24"/>
          <w:lang w:val="hy-AM"/>
        </w:rPr>
        <w:t>գործող կարգ</w:t>
      </w:r>
      <w:r w:rsidR="00A75C23" w:rsidRPr="008B1CCD">
        <w:rPr>
          <w:rFonts w:ascii="GHEA Grapalat" w:hAnsi="GHEA Grapalat"/>
          <w:i/>
          <w:sz w:val="24"/>
          <w:szCs w:val="24"/>
          <w:lang w:val="hy-AM"/>
        </w:rPr>
        <w:t>ավորումները առկա իրավիճակին համապատասխանեցնելու, միասնական մոտեցում ապահովելու և գործող օրենսդրության մեջ կրկնորդումներից խուսափելու նպատակով:</w:t>
      </w:r>
      <w:r w:rsidR="00A75C23" w:rsidRPr="008B1C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C23" w:rsidRPr="008B1CC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05CB5" w:rsidRPr="006241FB" w:rsidRDefault="00C05CB5" w:rsidP="003A0193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6A54AB" w:rsidRPr="006241FB" w:rsidRDefault="00C05CB5" w:rsidP="003A0193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241FB">
        <w:rPr>
          <w:rFonts w:ascii="GHEA Grapalat" w:hAnsi="GHEA Grapalat" w:cs="Times New Roman"/>
          <w:b/>
          <w:noProof/>
          <w:sz w:val="24"/>
          <w:szCs w:val="24"/>
          <w:lang w:val="hy-AM"/>
        </w:rPr>
        <w:t xml:space="preserve">4. </w:t>
      </w:r>
      <w:r w:rsidR="000C71D8" w:rsidRPr="006241FB">
        <w:rPr>
          <w:rFonts w:ascii="GHEA Grapalat" w:hAnsi="GHEA Grapalat" w:cs="Times New Roman"/>
          <w:b/>
          <w:noProof/>
          <w:sz w:val="24"/>
          <w:szCs w:val="24"/>
          <w:lang w:val="hy-AM"/>
        </w:rPr>
        <w:t>Պ</w:t>
      </w:r>
      <w:r w:rsidRPr="006241FB">
        <w:rPr>
          <w:rFonts w:ascii="GHEA Grapalat" w:hAnsi="GHEA Grapalat" w:cs="Times New Roman"/>
          <w:b/>
          <w:noProof/>
          <w:sz w:val="24"/>
          <w:szCs w:val="24"/>
          <w:lang w:val="hy-AM"/>
        </w:rPr>
        <w:t>ետական բյուջեի եկամուտներում և ծախսերում սպասվելիք փոփոխությունների մասին.</w:t>
      </w:r>
      <w:r w:rsidR="00431FDE" w:rsidRPr="006241F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C71D8" w:rsidRPr="006241FB" w:rsidRDefault="00B66C7E" w:rsidP="003A0193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6241FB">
        <w:rPr>
          <w:rFonts w:ascii="GHEA Grapalat" w:hAnsi="GHEA Grapalat"/>
          <w:sz w:val="24"/>
          <w:szCs w:val="24"/>
          <w:lang w:val="hy-AM"/>
        </w:rPr>
        <w:t>Ն</w:t>
      </w:r>
      <w:r w:rsidR="00431FDE" w:rsidRPr="006241FB">
        <w:rPr>
          <w:rFonts w:ascii="GHEA Grapalat" w:hAnsi="GHEA Grapalat"/>
          <w:sz w:val="24"/>
          <w:szCs w:val="24"/>
          <w:lang w:val="hy-AM"/>
        </w:rPr>
        <w:t>ախագծի</w:t>
      </w:r>
      <w:r w:rsidR="006A54AB" w:rsidRPr="006241FB">
        <w:rPr>
          <w:rFonts w:ascii="GHEA Grapalat" w:hAnsi="GHEA Grapalat" w:cs="Times New Roman"/>
          <w:b/>
          <w:noProof/>
          <w:sz w:val="24"/>
          <w:szCs w:val="24"/>
          <w:lang w:val="hy-AM"/>
        </w:rPr>
        <w:t xml:space="preserve"> </w:t>
      </w:r>
      <w:r w:rsidR="00C05CB5" w:rsidRPr="006241FB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C05CB5" w:rsidRPr="00624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արդյունքում պետական բյուջեում </w:t>
      </w:r>
      <w:r w:rsidR="00C05CB5" w:rsidRPr="006241FB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եկամուտների և ծախսերի էական ավելացում կամ նվազեցում չի նախատեսվում։</w:t>
      </w:r>
    </w:p>
    <w:p w:rsidR="00DA572B" w:rsidRPr="006241FB" w:rsidRDefault="00DA572B" w:rsidP="003A0193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</w:p>
    <w:p w:rsidR="00DA572B" w:rsidRPr="006241FB" w:rsidRDefault="000C71D8" w:rsidP="003A0193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6241FB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5</w:t>
      </w:r>
      <w:r w:rsidRPr="006241FB">
        <w:rPr>
          <w:rFonts w:ascii="Cambria Math" w:hAnsi="Cambria Math" w:cs="Cambria Math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="00DA572B" w:rsidRPr="006241FB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Այլ իրավական ակտերում փոփոխությունների և/կամ լրացումների անհրաժեշտության մասին</w:t>
      </w:r>
      <w:r w:rsidR="00DA572B" w:rsidRPr="006241FB">
        <w:rPr>
          <w:rFonts w:ascii="GHEA Grapalat" w:hAnsi="GHEA Grapalat"/>
          <w:b/>
          <w:noProof/>
          <w:sz w:val="24"/>
          <w:szCs w:val="24"/>
          <w:lang w:val="hy-AM"/>
        </w:rPr>
        <w:t>.</w:t>
      </w:r>
    </w:p>
    <w:p w:rsidR="00C05CB5" w:rsidRPr="006241FB" w:rsidRDefault="00A06366" w:rsidP="003A0193">
      <w:pPr>
        <w:spacing w:after="0"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6241FB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 xml:space="preserve">Նախագծի ընդունման </w:t>
      </w:r>
      <w:r w:rsidR="00FE0451" w:rsidRPr="006241FB">
        <w:rPr>
          <w:rFonts w:ascii="GHEA Grapalat" w:hAnsi="GHEA Grapalat" w:cs="Sylfaen"/>
          <w:noProof/>
          <w:sz w:val="24"/>
          <w:szCs w:val="24"/>
          <w:lang w:val="hy-AM"/>
        </w:rPr>
        <w:t>արդյունքում</w:t>
      </w:r>
      <w:r w:rsidRPr="006241FB">
        <w:rPr>
          <w:rFonts w:ascii="GHEA Grapalat" w:hAnsi="GHEA Grapalat" w:cs="Sylfaen"/>
          <w:noProof/>
          <w:sz w:val="24"/>
          <w:szCs w:val="24"/>
          <w:lang w:val="hy-AM"/>
        </w:rPr>
        <w:t xml:space="preserve"> այլ իրավական ակտերում փոփոխություններ և/կամ լրացումներ կատարելու անհրաժեշտությունը բացակայում է: </w:t>
      </w:r>
    </w:p>
    <w:p w:rsidR="00A06366" w:rsidRPr="006241FB" w:rsidRDefault="00A06366" w:rsidP="003A0193">
      <w:pPr>
        <w:spacing w:after="0"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C05CB5" w:rsidRPr="006241FB" w:rsidRDefault="000C71D8" w:rsidP="003A0193">
      <w:pPr>
        <w:tabs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6241F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="00C05CB5" w:rsidRPr="006241F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C05CB5" w:rsidRPr="006241F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C05CB5" w:rsidRPr="006241FB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E8472A" w:rsidRPr="006241FB" w:rsidRDefault="000C71D8" w:rsidP="003A0193">
      <w:pPr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24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ընդունումը կապված չէ </w:t>
      </w:r>
      <w:r w:rsidR="00F30566" w:rsidRPr="00624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ռազմավարական</w:t>
      </w:r>
      <w:r w:rsidRPr="00624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փաստաթղթերի հետ:</w:t>
      </w:r>
    </w:p>
    <w:p w:rsidR="00511D59" w:rsidRPr="00B66C7E" w:rsidRDefault="00511D59" w:rsidP="00EF7953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511D59" w:rsidRPr="00B66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16"/>
    <w:rsid w:val="00072C44"/>
    <w:rsid w:val="000C71D8"/>
    <w:rsid w:val="00135D45"/>
    <w:rsid w:val="001574F6"/>
    <w:rsid w:val="001C50D7"/>
    <w:rsid w:val="00292668"/>
    <w:rsid w:val="002B0082"/>
    <w:rsid w:val="0033310A"/>
    <w:rsid w:val="00334DE1"/>
    <w:rsid w:val="003873B1"/>
    <w:rsid w:val="003A0193"/>
    <w:rsid w:val="004232F6"/>
    <w:rsid w:val="00431FDE"/>
    <w:rsid w:val="00443EDC"/>
    <w:rsid w:val="00511D59"/>
    <w:rsid w:val="00526AA3"/>
    <w:rsid w:val="00553948"/>
    <w:rsid w:val="00565487"/>
    <w:rsid w:val="006241FB"/>
    <w:rsid w:val="0063162A"/>
    <w:rsid w:val="00684961"/>
    <w:rsid w:val="006A54AB"/>
    <w:rsid w:val="006E381C"/>
    <w:rsid w:val="00711C5F"/>
    <w:rsid w:val="00740807"/>
    <w:rsid w:val="00811E28"/>
    <w:rsid w:val="00981A7F"/>
    <w:rsid w:val="00981FA0"/>
    <w:rsid w:val="00986616"/>
    <w:rsid w:val="009D0975"/>
    <w:rsid w:val="00A06366"/>
    <w:rsid w:val="00A75C23"/>
    <w:rsid w:val="00A81876"/>
    <w:rsid w:val="00AC6881"/>
    <w:rsid w:val="00B66C7E"/>
    <w:rsid w:val="00B670CD"/>
    <w:rsid w:val="00BF446D"/>
    <w:rsid w:val="00C05CB5"/>
    <w:rsid w:val="00C52DE4"/>
    <w:rsid w:val="00C64851"/>
    <w:rsid w:val="00C95206"/>
    <w:rsid w:val="00CD3B38"/>
    <w:rsid w:val="00CF1C2E"/>
    <w:rsid w:val="00CF59ED"/>
    <w:rsid w:val="00D56AAA"/>
    <w:rsid w:val="00D70C84"/>
    <w:rsid w:val="00D80CE7"/>
    <w:rsid w:val="00DA572B"/>
    <w:rsid w:val="00DF05B7"/>
    <w:rsid w:val="00E1444E"/>
    <w:rsid w:val="00E8472A"/>
    <w:rsid w:val="00EF7953"/>
    <w:rsid w:val="00F30566"/>
    <w:rsid w:val="00FE0451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7E82C-DD96-4FCB-93DC-ED09DEE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05CB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05CB5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05CB5"/>
    <w:rPr>
      <w:lang w:val="ru-RU"/>
    </w:rPr>
  </w:style>
  <w:style w:type="table" w:styleId="TableGrid">
    <w:name w:val="Table Grid"/>
    <w:basedOn w:val="TableNormal"/>
    <w:uiPriority w:val="39"/>
    <w:rsid w:val="0051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54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Dayan</dc:creator>
  <cp:keywords/>
  <dc:description/>
  <cp:lastModifiedBy>Robert Dayan</cp:lastModifiedBy>
  <cp:revision>35</cp:revision>
  <dcterms:created xsi:type="dcterms:W3CDTF">2022-03-11T13:05:00Z</dcterms:created>
  <dcterms:modified xsi:type="dcterms:W3CDTF">2022-04-14T12:37:00Z</dcterms:modified>
</cp:coreProperties>
</file>