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56" w:rsidRPr="001C29FD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1C29FD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906656" w:rsidRPr="001D6D69" w:rsidRDefault="00906656" w:rsidP="0090665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</w:pPr>
      <w:r w:rsidRPr="001D6D69">
        <w:rPr>
          <w:rFonts w:ascii="GHEA Grapalat" w:eastAsia="CIDFont+F1" w:hAnsi="GHEA Grapalat" w:cs="CIDFont+F1"/>
          <w:sz w:val="24"/>
          <w:szCs w:val="24"/>
          <w:lang w:val="hy-AM"/>
        </w:rPr>
        <w:t>«ԱՐՏԱՄԱՐՄՆԱՅԻՆ ԲԵՂՄՆԱՎՈՐՄԱՆ ԵՂԱՆԱԿՈՎ ՍՏԱՑՎԱԾ եվ ՉՕԳՏԱԳՈՐԾՎԱԾ ՍԱՂՄԵՐԻ ԱՆՀԱՏՈՒՅՑ ՏՐԱՄԱԴՐՄԱՆ, ՈՉՆՉԱՑՄԱՆ ԿԱՄ ՊԱՀՊԱՆՄԱՆ ՎԵՐԱԲԵՐՅԱԼ ԳՐԱՎՈՐ ՀԱՄԱՁԱՅՆՈՒԹՅԱՆ ՁևԸ, ՍԱՂՄԻ ԱՆՀԱՏՈՒՅՑ ՏՐԱՄԱԴՐՄԱՆ ԿԱՐԳՆ ՈՒ ՊԱՅՄԱՆՆԵՐԸ ՀԱՍՏԱՏԵԼՈՒ ՄԱՍԻՆ</w:t>
      </w:r>
      <w:r w:rsidRPr="001D6D69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»</w:t>
      </w:r>
    </w:p>
    <w:p w:rsidR="00906656" w:rsidRPr="001D6D69" w:rsidRDefault="00906656" w:rsidP="00906656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1D6D69">
        <w:rPr>
          <w:rFonts w:ascii="GHEA Grapalat" w:hAnsi="GHEA Grapalat" w:cs="Tahoma"/>
          <w:sz w:val="24"/>
          <w:szCs w:val="24"/>
          <w:lang w:val="hy-AM"/>
        </w:rPr>
        <w:t xml:space="preserve">ԿԱՌԱՎԱՐՈՒԹՅԱՆ ՈՐՈՇՄԱՆ </w:t>
      </w:r>
      <w:r w:rsidRPr="001D6D69">
        <w:rPr>
          <w:rFonts w:ascii="GHEA Grapalat" w:hAnsi="GHEA Grapalat" w:cs="Sylfaen"/>
          <w:bCs/>
          <w:caps/>
          <w:color w:val="000000"/>
          <w:sz w:val="24"/>
          <w:szCs w:val="24"/>
          <w:lang w:val="hy-AM"/>
        </w:rPr>
        <w:t>ՆԱԽԱԳԾԻ</w:t>
      </w:r>
      <w:r w:rsidRPr="001D6D69">
        <w:rPr>
          <w:rFonts w:ascii="GHEA Grapalat" w:hAnsi="GHEA Grapalat"/>
          <w:bCs/>
          <w:caps/>
          <w:color w:val="000000"/>
          <w:sz w:val="24"/>
          <w:szCs w:val="24"/>
          <w:lang w:val="hy-AM"/>
        </w:rPr>
        <w:t xml:space="preserve"> </w:t>
      </w:r>
      <w:r w:rsidRPr="001D6D69">
        <w:rPr>
          <w:rFonts w:ascii="GHEA Grapalat" w:hAnsi="GHEA Grapalat" w:cs="Sylfaen"/>
          <w:bCs/>
          <w:caps/>
          <w:color w:val="000000"/>
          <w:sz w:val="24"/>
          <w:szCs w:val="24"/>
          <w:lang w:val="hy-AM"/>
        </w:rPr>
        <w:t>ՎԵՐԱԲԵՐՅԱԼ</w:t>
      </w:r>
    </w:p>
    <w:p w:rsidR="00906656" w:rsidRPr="001C29FD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Courier New" w:hAnsi="Courier New" w:cs="Courier New"/>
          <w:color w:val="000000"/>
          <w:lang w:val="hy-AM"/>
        </w:rPr>
        <w:t> </w:t>
      </w:r>
    </w:p>
    <w:p w:rsidR="00906656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906656" w:rsidRPr="00732307" w:rsidRDefault="00906656" w:rsidP="00906656">
      <w:pPr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1.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906656" w:rsidRDefault="00906656" w:rsidP="00906656">
      <w:pPr>
        <w:autoSpaceDE w:val="0"/>
        <w:autoSpaceDN w:val="0"/>
        <w:adjustRightInd w:val="0"/>
        <w:spacing w:after="0" w:line="360" w:lineRule="auto"/>
        <w:ind w:firstLine="374"/>
        <w:jc w:val="both"/>
        <w:rPr>
          <w:rFonts w:ascii="GHEA Grapalat" w:hAnsi="GHEA Grapalat" w:cs="Tahoma"/>
          <w:lang w:val="hy-AM"/>
        </w:rPr>
      </w:pPr>
      <w:r w:rsidRPr="004A2393">
        <w:rPr>
          <w:rFonts w:ascii="GHEA Grapalat" w:hAnsi="GHEA Grapalat" w:cs="Tahoma"/>
          <w:sz w:val="24"/>
          <w:szCs w:val="24"/>
          <w:lang w:val="hy-AM"/>
        </w:rPr>
        <w:t>«</w:t>
      </w: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>Ա</w:t>
      </w:r>
      <w:r>
        <w:rPr>
          <w:rFonts w:ascii="GHEA Grapalat" w:eastAsia="CIDFont+F1" w:hAnsi="GHEA Grapalat" w:cs="CIDFont+F1"/>
          <w:sz w:val="24"/>
          <w:szCs w:val="24"/>
          <w:lang w:val="hy-AM"/>
        </w:rPr>
        <w:t>րտամարմնային բեղմնավորման եղանակով ստացված և չօգտագործված սաղմերի անհատույց տրամադրման, ոչնչացման կամ պահպանման վերաբերյալ գրավոր համաձայնության ձևը, սաղմի անհատույց տրամադրման կարգն ու պայմանները հաստատելու մասին</w:t>
      </w:r>
      <w:r w:rsidRPr="004A2393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» </w:t>
      </w:r>
      <w:r w:rsidRPr="004A239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որոշման նախագծի </w:t>
      </w:r>
      <w:r w:rsidRPr="004A2393">
        <w:rPr>
          <w:rFonts w:ascii="GHEA Grapalat" w:hAnsi="GHEA Grapalat" w:cs="Sylfaen"/>
          <w:color w:val="000000"/>
          <w:sz w:val="24"/>
          <w:szCs w:val="24"/>
          <w:lang w:val="hy-AM"/>
        </w:rPr>
        <w:t>ընդունման անհրաժեշտությունը բխում է</w:t>
      </w:r>
      <w:r w:rsidR="001D6D6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N878-Ա որոշմամբ հաստատված հավելվածի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4A2393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 կետի պահանջից, որի նպատակն է ապահովել</w:t>
      </w:r>
      <w:r w:rsidR="00AE63EB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>«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Մարդու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առողջության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և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="00752982"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982" w:rsidRPr="00377331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4A2393">
        <w:rPr>
          <w:rFonts w:ascii="GHEA Grapalat" w:hAnsi="GHEA Grapalat"/>
          <w:sz w:val="24"/>
          <w:szCs w:val="24"/>
          <w:lang w:val="hy-AM"/>
        </w:rPr>
        <w:t xml:space="preserve"> ՀՀ օրենքի</w:t>
      </w:r>
      <w:r w:rsidR="001D6D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2393">
        <w:rPr>
          <w:rFonts w:ascii="GHEA Grapalat" w:hAnsi="GHEA Grapalat"/>
          <w:sz w:val="24"/>
          <w:szCs w:val="24"/>
          <w:lang w:val="hy-AM"/>
        </w:rPr>
        <w:t>համապատասխան դրույթի կիրառկման ապահովումը:</w:t>
      </w:r>
      <w:r>
        <w:rPr>
          <w:rFonts w:ascii="GHEA Grapalat" w:hAnsi="GHEA Grapalat"/>
          <w:sz w:val="24"/>
          <w:szCs w:val="24"/>
          <w:lang w:val="hy-AM"/>
        </w:rPr>
        <w:t xml:space="preserve"> Վերջինիս 2021թ. փոփոխությամբ սահմանվել էր կենսաբանական ծնող չհանդիսացող զույգի/ամուսնության մեջ չգտնվող կնոջ` վերարտադրողական</w:t>
      </w:r>
      <w:r w:rsidR="001D6D6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օժանդակ տեխնոլոգիաներից օգտվելու իրավունքը, ինչպես նաև </w:t>
      </w:r>
      <w:r>
        <w:rPr>
          <w:rFonts w:ascii="GHEA Grapalat" w:eastAsia="CIDFont+F1" w:hAnsi="GHEA Grapalat" w:cs="CIDFont+F1"/>
          <w:sz w:val="24"/>
          <w:szCs w:val="24"/>
          <w:lang w:val="hy-AM"/>
        </w:rPr>
        <w:t xml:space="preserve">արտամարմնային բեղմնավորման եղանակով ստացված և չօգտագործված սաղմերի` բժշկական կազմակերպությանը անհատույց տրամադրման հնարավորությունը, որի արդյունքում բժշկական կազմակերպությունը իրավունք է ստանում անհատույց տրամադրել այն զույգին կամ կնոջը, որը կարիք ունի համապատասխանաբար ձվաբջջի և սերմնաբջջի դոնորի կամ ձվաբջջի դոնորի: 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1D6D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06656" w:rsidRPr="00732307" w:rsidRDefault="00906656" w:rsidP="00906656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Կարգավորման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նպատակը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բնույթը</w:t>
      </w:r>
    </w:p>
    <w:p w:rsidR="00906656" w:rsidRPr="00732307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bCs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Առաջարկվող նախագծով սահմանվում է </w:t>
      </w:r>
      <w:r>
        <w:rPr>
          <w:rFonts w:ascii="GHEA Grapalat" w:eastAsia="CIDFont+F1" w:hAnsi="GHEA Grapalat" w:cs="CIDFont+F1"/>
          <w:lang w:val="hy-AM"/>
        </w:rPr>
        <w:t xml:space="preserve">րտամարմնային բեղմնավորման եղանակով ստացված և չօգտագործված սաղմերի անհատույց տրամադրման, ոչնչացման կամ պահպանման վերաբերյալ գրավոր համաձայնության ձևը, որը կնքվում է սաղմի կենսաբանական ծնող հանդիսացող անձանց/անձի և բուժհաստատության միջև, ինչպես նաև բուժհաստատության կողմից դրա կարիքը </w:t>
      </w:r>
      <w:r>
        <w:rPr>
          <w:rFonts w:ascii="GHEA Grapalat" w:eastAsia="CIDFont+F1" w:hAnsi="GHEA Grapalat" w:cs="CIDFont+F1"/>
          <w:lang w:val="hy-AM"/>
        </w:rPr>
        <w:lastRenderedPageBreak/>
        <w:t>ունեցող անձանց/անձին սաղմի անհատույց տրամադրման կարգն ու պայմանները:</w:t>
      </w:r>
      <w:r w:rsidR="001D6D69">
        <w:rPr>
          <w:rFonts w:ascii="GHEA Grapalat" w:eastAsia="CIDFont+F1" w:hAnsi="GHEA Grapalat" w:cs="CIDFont+F1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3.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Նախագծի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մշակման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գործընթացում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ներգրավված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ինստիուտները</w:t>
      </w:r>
      <w:r w:rsidRPr="00732307">
        <w:rPr>
          <w:rFonts w:ascii="GHEA Grapalat" w:hAnsi="GHEA Grapalat"/>
          <w:b/>
          <w:bCs/>
          <w:u w:val="single"/>
          <w:lang w:val="hy-AM"/>
        </w:rPr>
        <w:t xml:space="preserve">, </w:t>
      </w:r>
      <w:r w:rsidRPr="00732307">
        <w:rPr>
          <w:rFonts w:ascii="GHEA Grapalat" w:hAnsi="GHEA Grapalat" w:cs="Sylfaen"/>
          <w:b/>
          <w:bCs/>
          <w:u w:val="single"/>
          <w:lang w:val="hy-AM"/>
        </w:rPr>
        <w:t>անձինք</w:t>
      </w:r>
    </w:p>
    <w:p w:rsidR="00906656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 w:rsidRPr="005B7F78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</w:t>
      </w:r>
      <w:r>
        <w:rPr>
          <w:rFonts w:ascii="GHEA Grapalat" w:hAnsi="GHEA Grapalat"/>
          <w:bCs/>
          <w:color w:val="000000"/>
          <w:lang w:val="hy-AM"/>
        </w:rPr>
        <w:t xml:space="preserve"> կողմից</w:t>
      </w:r>
      <w:r w:rsidRPr="005B7F78">
        <w:rPr>
          <w:rFonts w:ascii="GHEA Grapalat" w:hAnsi="GHEA Grapalat"/>
          <w:bCs/>
          <w:color w:val="000000"/>
          <w:lang w:val="hy-AM"/>
        </w:rPr>
        <w:t>:</w:t>
      </w:r>
    </w:p>
    <w:p w:rsidR="00906656" w:rsidRPr="00906656" w:rsidRDefault="00906656" w:rsidP="00906656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906656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Ակնկալվող</w:t>
      </w:r>
      <w:r w:rsidRPr="00906656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906656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արդյունքը</w:t>
      </w:r>
    </w:p>
    <w:p w:rsidR="00D91306" w:rsidRDefault="00906656" w:rsidP="00D9130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  <w:r w:rsidRPr="001C29FD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արդյունքում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ակնկալվում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է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կանոնակարգել սաղմի կենսաբանական ծնողների, բժշկական կազմակերպության և դոնորական սեռաբջիջների կարիք ունեցող զույգի/կնոջ փոխհարաբերությունը:</w:t>
      </w:r>
      <w:r w:rsidR="001D6D69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Միաժամանակ, սաղմի անհատույց տրամադրման արդյունքում այն զույգերը կամ </w:t>
      </w:r>
      <w:r w:rsidR="00AE63EB">
        <w:rPr>
          <w:rFonts w:ascii="GHEA Grapalat" w:hAnsi="GHEA Grapalat" w:cs="Sylfaen"/>
          <w:color w:val="000000"/>
          <w:lang w:val="hy-AM"/>
        </w:rPr>
        <w:t>ՀՀ սահմանված կարգով ամուսնության մեջ չգտնվող կանայք</w:t>
      </w:r>
      <w:r>
        <w:rPr>
          <w:rFonts w:ascii="GHEA Grapalat" w:hAnsi="GHEA Grapalat" w:cs="Sylfaen"/>
          <w:color w:val="000000"/>
          <w:lang w:val="hy-AM"/>
        </w:rPr>
        <w:t>, որոնք</w:t>
      </w:r>
      <w:r w:rsidR="00D91306">
        <w:rPr>
          <w:rFonts w:ascii="GHEA Grapalat" w:hAnsi="GHEA Grapalat" w:cs="Sylfaen"/>
          <w:color w:val="000000"/>
          <w:lang w:val="hy-AM"/>
        </w:rPr>
        <w:t xml:space="preserve"> չունեն բեղմնունակ սեռաբջիջներ, նույնպես հնարավորություն կստանան</w:t>
      </w:r>
      <w:r w:rsidR="001D6D69">
        <w:rPr>
          <w:rFonts w:ascii="GHEA Grapalat" w:hAnsi="GHEA Grapalat" w:cs="Sylfaen"/>
          <w:color w:val="000000"/>
          <w:lang w:val="hy-AM"/>
        </w:rPr>
        <w:t xml:space="preserve"> </w:t>
      </w:r>
      <w:r w:rsidR="00D91306">
        <w:rPr>
          <w:rFonts w:ascii="GHEA Grapalat" w:hAnsi="GHEA Grapalat" w:cs="Sylfaen"/>
          <w:color w:val="000000"/>
          <w:lang w:val="hy-AM"/>
        </w:rPr>
        <w:t>վայելելրու ծնող դառնալու բերկրանքը, ինչպես նաև հնարավորություն կստեղծվի կյանք</w:t>
      </w:r>
      <w:r w:rsidR="001D6D69">
        <w:rPr>
          <w:rFonts w:ascii="GHEA Grapalat" w:hAnsi="GHEA Grapalat" w:cs="Sylfaen"/>
          <w:color w:val="000000"/>
          <w:lang w:val="hy-AM"/>
        </w:rPr>
        <w:t xml:space="preserve"> </w:t>
      </w:r>
      <w:r w:rsidR="00D91306">
        <w:rPr>
          <w:rFonts w:ascii="GHEA Grapalat" w:hAnsi="GHEA Grapalat" w:cs="Sylfaen"/>
          <w:color w:val="000000"/>
          <w:lang w:val="hy-AM"/>
        </w:rPr>
        <w:t xml:space="preserve">տալ այն սաղմերին, որոնք այլապես պետք է ոչնչացվեին: Մյուս կողմից, դոնորական սաղմի ներպատվաստման առաջնահերթություն տալով պետական պատվերի շրջանակներում բուժում ստացող անպտուղ զույգերին, վերջիններիս արտամարմնային բեղմնավորման համար անհրաժեշտ գումարը կտնտեսվի, թեթևացնելով պետության բեռը և ուղղելով այդ միջոցները այլ անպտուղ զույգերի բուժմանը: </w:t>
      </w:r>
    </w:p>
    <w:p w:rsidR="00906656" w:rsidRPr="00C23790" w:rsidRDefault="00D91306" w:rsidP="00D9130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bCs/>
          <w:u w:val="single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5.</w:t>
      </w:r>
      <w:r w:rsidR="00906656" w:rsidRPr="00C23790">
        <w:rPr>
          <w:rFonts w:ascii="GHEA Grapalat" w:hAnsi="GHEA Grapalat" w:cs="Sylfaen"/>
          <w:b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906656" w:rsidRDefault="00906656" w:rsidP="0090665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F2221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F2221">
        <w:rPr>
          <w:rFonts w:ascii="GHEA Grapalat" w:hAnsi="GHEA Grapalat" w:cs="Sylfaen"/>
          <w:bCs/>
          <w:lang w:val="af-ZA"/>
        </w:rPr>
        <w:t xml:space="preserve"> </w:t>
      </w:r>
      <w:r w:rsidRPr="00AF2221">
        <w:rPr>
          <w:rFonts w:ascii="GHEA Grapalat" w:hAnsi="GHEA Grapalat" w:cs="Sylfaen"/>
          <w:bCs/>
          <w:lang w:val="hy-AM"/>
        </w:rPr>
        <w:t>իրավական ակտերում փոփոխություններ և լրացումներ չեն նախատեսվում:</w:t>
      </w:r>
    </w:p>
    <w:p w:rsidR="00906656" w:rsidRPr="007E76CA" w:rsidRDefault="00906656" w:rsidP="00906656">
      <w:pPr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/>
          <w:bCs/>
          <w:sz w:val="24"/>
          <w:szCs w:val="24"/>
          <w:lang w:val="hy-AM"/>
        </w:rPr>
        <w:t>6.</w:t>
      </w:r>
      <w:r w:rsidRPr="007E76C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74AD6" w:rsidRPr="00906656" w:rsidRDefault="00906656">
      <w:pPr>
        <w:rPr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  <w:bookmarkStart w:id="0" w:name="_GoBack"/>
      <w:bookmarkEnd w:id="0"/>
    </w:p>
    <w:sectPr w:rsidR="00974AD6" w:rsidRPr="00906656" w:rsidSect="001D6D69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C85"/>
    <w:multiLevelType w:val="hybridMultilevel"/>
    <w:tmpl w:val="9008154E"/>
    <w:lvl w:ilvl="0" w:tplc="CD20DA5C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D036E"/>
    <w:multiLevelType w:val="hybridMultilevel"/>
    <w:tmpl w:val="70FCDA06"/>
    <w:lvl w:ilvl="0" w:tplc="965A99E6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6"/>
    <w:rsid w:val="001939B5"/>
    <w:rsid w:val="001D6D69"/>
    <w:rsid w:val="00583731"/>
    <w:rsid w:val="00752982"/>
    <w:rsid w:val="00906656"/>
    <w:rsid w:val="00974AD6"/>
    <w:rsid w:val="00AE63EB"/>
    <w:rsid w:val="00D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1D79"/>
  <w15:chartTrackingRefBased/>
  <w15:docId w15:val="{E8492468-0F2B-4062-B99A-7AE2C4E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5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66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8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8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3</cp:revision>
  <dcterms:created xsi:type="dcterms:W3CDTF">2022-04-12T05:36:00Z</dcterms:created>
  <dcterms:modified xsi:type="dcterms:W3CDTF">2022-04-12T05:47:00Z</dcterms:modified>
</cp:coreProperties>
</file>