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7B" w:rsidRPr="00B224B6" w:rsidRDefault="00F1437B" w:rsidP="00C115FB">
      <w:pPr>
        <w:spacing w:after="0" w:line="24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24B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F1437B" w:rsidRPr="00B224B6" w:rsidRDefault="00F1437B" w:rsidP="00C115FB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255F79">
        <w:rPr>
          <w:rFonts w:ascii="GHEA Grapalat" w:hAnsi="GHEA Grapalat" w:cs="AK Courier"/>
          <w:b/>
          <w:sz w:val="24"/>
          <w:szCs w:val="24"/>
          <w:lang w:val="hy-AM"/>
        </w:rPr>
        <w:t xml:space="preserve">ՀԱՅԱՍՏԱՆԻ ՀԱՆՐԱՊԵՏՈՒԹՅԱՆ ԿԱՌԱՎԱՐՈՒԹՅԱՆ 2019 ԹՎԱԿԱՆԻ ՓԵՏՐՎԱՐԻ 28-Ի N </w:t>
      </w:r>
      <w:r w:rsidRPr="000523F9">
        <w:rPr>
          <w:rFonts w:ascii="GHEA Grapalat" w:hAnsi="GHEA Grapalat" w:cs="AK Courier"/>
          <w:b/>
          <w:sz w:val="24"/>
          <w:szCs w:val="24"/>
          <w:lang w:val="hy-AM"/>
        </w:rPr>
        <w:t>166</w:t>
      </w:r>
      <w:r w:rsidRPr="00255F79">
        <w:rPr>
          <w:rFonts w:ascii="GHEA Grapalat" w:hAnsi="GHEA Grapalat" w:cs="AK Courier"/>
          <w:b/>
          <w:sz w:val="24"/>
          <w:szCs w:val="24"/>
          <w:lang w:val="hy-AM"/>
        </w:rPr>
        <w:t xml:space="preserve">-Ն ՈՐՈՇՄԱՆ ՄԵՋ </w:t>
      </w:r>
      <w:r>
        <w:rPr>
          <w:rFonts w:ascii="GHEA Grapalat" w:hAnsi="GHEA Grapalat" w:cs="AK Courier"/>
          <w:b/>
          <w:sz w:val="24"/>
          <w:szCs w:val="24"/>
          <w:lang w:val="hy-AM"/>
        </w:rPr>
        <w:t>ՓՈՓՈԽՈՒԹՅՈՒՆ</w:t>
      </w:r>
      <w:r w:rsidR="00C115FB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255F79">
        <w:rPr>
          <w:rFonts w:ascii="GHEA Grapalat" w:hAnsi="GHEA Grapalat" w:cs="AK Courier"/>
          <w:b/>
          <w:sz w:val="24"/>
          <w:szCs w:val="24"/>
          <w:lang w:val="hy-AM"/>
        </w:rPr>
        <w:t>ԿԱՏԱՐԵԼՈՒ ՄԱՍԻՆ</w:t>
      </w:r>
      <w:r>
        <w:rPr>
          <w:rFonts w:ascii="GHEA Grapalat" w:hAnsi="GHEA Grapalat"/>
          <w:b/>
          <w:lang w:val="hy-AM"/>
        </w:rPr>
        <w:t>»</w:t>
      </w:r>
      <w:r w:rsidRPr="00B224B6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ՀՀ ԿԱՌԱՎԱՐՈՒԹՅԱՆ </w:t>
      </w:r>
      <w:r w:rsidRPr="00B224B6">
        <w:rPr>
          <w:rFonts w:ascii="GHEA Grapalat" w:hAnsi="GHEA Grapalat"/>
          <w:b/>
          <w:lang w:val="hy-AM"/>
        </w:rPr>
        <w:t>ՈՐՈՇՄԱՆ ՆԱԽԱԳԾԻ ԸՆԴՈՒՆՄԱՆ ԱՆՀՐԱԺԵՇՏՈՒԹՅԱՆ</w:t>
      </w:r>
      <w:r>
        <w:rPr>
          <w:rFonts w:ascii="GHEA Grapalat" w:hAnsi="GHEA Grapalat"/>
          <w:b/>
          <w:lang w:val="hy-AM"/>
        </w:rPr>
        <w:t xml:space="preserve"> ՎԵՐԱԲԵՐՅԱԼ</w:t>
      </w:r>
    </w:p>
    <w:p w:rsidR="000855A0" w:rsidRPr="00B224B6" w:rsidRDefault="000855A0" w:rsidP="00C115FB">
      <w:pPr>
        <w:pStyle w:val="NoSpacing"/>
        <w:jc w:val="both"/>
        <w:rPr>
          <w:rFonts w:ascii="GHEA Grapalat" w:hAnsi="GHEA Grapalat"/>
          <w:sz w:val="24"/>
          <w:szCs w:val="24"/>
          <w:lang w:val="hy-AM"/>
        </w:rPr>
      </w:pPr>
    </w:p>
    <w:p w:rsidR="000855A0" w:rsidRDefault="000855A0" w:rsidP="00C115FB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7636F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7636F5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7636F5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:rsidR="004E7E67" w:rsidRPr="004E7E67" w:rsidRDefault="00743B8A" w:rsidP="00C115FB">
      <w:pPr>
        <w:pStyle w:val="NoSpacing"/>
        <w:spacing w:line="360" w:lineRule="auto"/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43B8A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2019 թվականի փետրվարի 28-ի «Հայաստանի Հանրապետությունում դեղերի շրջանառության պետական կարգավորման ոլորտում փորձաքննությունների վճարները սահմանելու մասին» N 166-Ն որոշ</w:t>
      </w:r>
      <w:r w:rsidR="00FB7126" w:rsidRPr="00FB7126">
        <w:rPr>
          <w:rFonts w:ascii="GHEA Grapalat" w:hAnsi="GHEA Grapalat" w:cs="Arial"/>
          <w:sz w:val="24"/>
          <w:szCs w:val="24"/>
          <w:lang w:val="hy-AM"/>
        </w:rPr>
        <w:t xml:space="preserve">ումը ընդունելուց </w:t>
      </w:r>
      <w:r w:rsidR="004E7E67" w:rsidRPr="004E7E67">
        <w:rPr>
          <w:rFonts w:ascii="GHEA Grapalat" w:hAnsi="GHEA Grapalat" w:cs="Arial"/>
          <w:sz w:val="24"/>
          <w:szCs w:val="24"/>
          <w:lang w:val="hy-AM"/>
        </w:rPr>
        <w:t xml:space="preserve">հետո </w:t>
      </w:r>
      <w:r w:rsidR="00FB7126" w:rsidRPr="00FB7126">
        <w:rPr>
          <w:rFonts w:ascii="GHEA Grapalat" w:hAnsi="GHEA Grapalat" w:cs="Arial"/>
          <w:sz w:val="24"/>
          <w:szCs w:val="24"/>
          <w:lang w:val="hy-AM"/>
        </w:rPr>
        <w:t xml:space="preserve">կատարվել են մի շարք փոփոխություններ Եվրասիական </w:t>
      </w:r>
      <w:r w:rsidR="0080352E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="00FB7126" w:rsidRPr="00FB7126">
        <w:rPr>
          <w:rFonts w:ascii="GHEA Grapalat" w:hAnsi="GHEA Grapalat" w:cs="Arial"/>
          <w:sz w:val="24"/>
          <w:szCs w:val="24"/>
          <w:lang w:val="hy-AM"/>
        </w:rPr>
        <w:t xml:space="preserve"> միության (ԵԱՏՄ) շրջանակներում դեղերի գրանցման և փորձաքննության կանոններում, որոնք պահանջում են համապատասխան վճարների սահմանում, և դրանով պայմանավորված</w:t>
      </w:r>
      <w:r w:rsidR="00C115F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B7126" w:rsidRPr="00FB7126">
        <w:rPr>
          <w:rFonts w:ascii="GHEA Grapalat" w:hAnsi="GHEA Grapalat" w:cs="Arial"/>
          <w:sz w:val="24"/>
          <w:szCs w:val="24"/>
          <w:lang w:val="hy-AM"/>
        </w:rPr>
        <w:t>փոփոխությունների</w:t>
      </w:r>
      <w:r w:rsidR="00C115F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B7126" w:rsidRPr="00FB7126">
        <w:rPr>
          <w:rFonts w:ascii="GHEA Grapalat" w:hAnsi="GHEA Grapalat" w:cs="Arial"/>
          <w:sz w:val="24"/>
          <w:szCs w:val="24"/>
          <w:lang w:val="hy-AM"/>
        </w:rPr>
        <w:t>կատարում ազգային օրենսդրության մեջ</w:t>
      </w:r>
      <w:r w:rsidRPr="005D4132">
        <w:rPr>
          <w:rFonts w:ascii="GHEA Grapalat" w:hAnsi="GHEA Grapalat" w:cs="Arial"/>
          <w:sz w:val="24"/>
          <w:szCs w:val="24"/>
          <w:lang w:val="hy-AM"/>
        </w:rPr>
        <w:t>:</w:t>
      </w:r>
      <w:r w:rsidR="004E7E67" w:rsidRPr="004E7E6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7E67" w:rsidRPr="000A2EAF">
        <w:rPr>
          <w:rFonts w:ascii="GHEA Grapalat" w:hAnsi="GHEA Grapalat" w:cs="Arial"/>
          <w:sz w:val="24"/>
          <w:szCs w:val="24"/>
          <w:lang w:val="hy-AM"/>
        </w:rPr>
        <w:t xml:space="preserve">Բացի այդ, որոշման եռամյա կիրարկման </w:t>
      </w:r>
      <w:r w:rsidR="006B62CB" w:rsidRPr="000A2EAF">
        <w:rPr>
          <w:rFonts w:ascii="GHEA Grapalat" w:hAnsi="GHEA Grapalat" w:cs="Arial"/>
          <w:sz w:val="24"/>
          <w:szCs w:val="24"/>
          <w:lang w:val="hy-AM"/>
        </w:rPr>
        <w:t>փորձը ցույց է տվել, որ</w:t>
      </w:r>
      <w:r w:rsidR="004E7E67" w:rsidRPr="000A2EAF">
        <w:rPr>
          <w:rFonts w:ascii="GHEA Grapalat" w:hAnsi="GHEA Grapalat" w:cs="Arial"/>
          <w:sz w:val="24"/>
          <w:szCs w:val="24"/>
          <w:lang w:val="hy-AM"/>
        </w:rPr>
        <w:t xml:space="preserve"> ներմուծման հավաստագրման և կլինիկական փորձարկումների թույլտվության տրամադրման նպատակով կատարվող փորձաքննությ</w:t>
      </w:r>
      <w:r w:rsidR="006B62CB" w:rsidRPr="000A2EAF">
        <w:rPr>
          <w:rFonts w:ascii="GHEA Grapalat" w:hAnsi="GHEA Grapalat" w:cs="Arial"/>
          <w:sz w:val="24"/>
          <w:szCs w:val="24"/>
          <w:lang w:val="hy-AM"/>
        </w:rPr>
        <w:t>ունների</w:t>
      </w:r>
      <w:r w:rsidR="004E7E67" w:rsidRPr="000A2EAF">
        <w:rPr>
          <w:rFonts w:ascii="GHEA Grapalat" w:hAnsi="GHEA Grapalat" w:cs="Arial"/>
          <w:sz w:val="24"/>
          <w:szCs w:val="24"/>
          <w:lang w:val="hy-AM"/>
        </w:rPr>
        <w:t xml:space="preserve"> վճարներ</w:t>
      </w:r>
      <w:r w:rsidR="006B62CB" w:rsidRPr="000A2EAF">
        <w:rPr>
          <w:rFonts w:ascii="GHEA Grapalat" w:hAnsi="GHEA Grapalat" w:cs="Arial"/>
          <w:sz w:val="24"/>
          <w:szCs w:val="24"/>
          <w:lang w:val="hy-AM"/>
        </w:rPr>
        <w:t>ը</w:t>
      </w:r>
      <w:r w:rsidR="004E7E67" w:rsidRPr="000A2E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B62CB" w:rsidRPr="000A2EAF">
        <w:rPr>
          <w:rFonts w:ascii="GHEA Grapalat" w:hAnsi="GHEA Grapalat" w:cs="Arial"/>
          <w:sz w:val="24"/>
          <w:szCs w:val="24"/>
          <w:lang w:val="hy-AM"/>
        </w:rPr>
        <w:t>աշխատատարության</w:t>
      </w:r>
      <w:r w:rsidR="00C115F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B62CB" w:rsidRPr="000A2EAF">
        <w:rPr>
          <w:rFonts w:ascii="GHEA Grapalat" w:hAnsi="GHEA Grapalat" w:cs="Arial"/>
          <w:sz w:val="24"/>
          <w:szCs w:val="24"/>
          <w:lang w:val="hy-AM"/>
        </w:rPr>
        <w:t>և</w:t>
      </w:r>
      <w:r w:rsidR="00C115F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B62CB" w:rsidRPr="000A2EAF">
        <w:rPr>
          <w:rFonts w:ascii="GHEA Grapalat" w:hAnsi="GHEA Grapalat" w:cs="Arial"/>
          <w:sz w:val="24"/>
          <w:szCs w:val="24"/>
          <w:lang w:val="hy-AM"/>
        </w:rPr>
        <w:t xml:space="preserve">ծախսատարության տեսանկյունից ներկայում իրատեսական չեն և </w:t>
      </w:r>
      <w:r w:rsidR="004E7E67" w:rsidRPr="000A2EAF">
        <w:rPr>
          <w:rFonts w:ascii="GHEA Grapalat" w:hAnsi="GHEA Grapalat" w:cs="Arial"/>
          <w:sz w:val="24"/>
          <w:szCs w:val="24"/>
          <w:lang w:val="hy-AM"/>
        </w:rPr>
        <w:t>վերանայման</w:t>
      </w:r>
      <w:r w:rsidR="00C115F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B62CB" w:rsidRPr="000A2EAF">
        <w:rPr>
          <w:rFonts w:ascii="GHEA Grapalat" w:hAnsi="GHEA Grapalat" w:cs="Arial"/>
          <w:sz w:val="24"/>
          <w:szCs w:val="24"/>
          <w:lang w:val="hy-AM"/>
        </w:rPr>
        <w:t>կարիք ունեն</w:t>
      </w:r>
      <w:r w:rsidR="004E7E67" w:rsidRPr="000A2EAF">
        <w:rPr>
          <w:rFonts w:ascii="GHEA Grapalat" w:hAnsi="GHEA Grapalat" w:cs="Arial"/>
          <w:sz w:val="24"/>
          <w:szCs w:val="24"/>
          <w:lang w:val="hy-AM"/>
        </w:rPr>
        <w:t>:</w:t>
      </w:r>
    </w:p>
    <w:p w:rsidR="000855A0" w:rsidRPr="008853AE" w:rsidRDefault="004E7E67" w:rsidP="00C115FB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E7E6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62DAA" w:rsidRPr="000B6167">
        <w:rPr>
          <w:rFonts w:ascii="GHEA Grapalat" w:hAnsi="GHEA Grapalat" w:cs="Arial"/>
          <w:sz w:val="24"/>
          <w:szCs w:val="24"/>
          <w:lang w:val="hy-AM"/>
        </w:rPr>
        <w:t>2.</w:t>
      </w:r>
      <w:r w:rsidR="000855A0" w:rsidRPr="008853AE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="000855A0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55A0" w:rsidRPr="008853AE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="000855A0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55A0" w:rsidRPr="008853AE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="000855A0"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855A0" w:rsidRPr="008853AE">
        <w:rPr>
          <w:rFonts w:ascii="GHEA Grapalat" w:hAnsi="GHEA Grapalat" w:cs="Arial"/>
          <w:b/>
          <w:sz w:val="24"/>
          <w:szCs w:val="24"/>
          <w:lang w:val="hy-AM"/>
        </w:rPr>
        <w:t>խնդիրները</w:t>
      </w:r>
      <w:r w:rsidR="000855A0" w:rsidRPr="008853AE">
        <w:rPr>
          <w:rFonts w:ascii="GHEA Grapalat" w:hAnsi="GHEA Grapalat"/>
          <w:sz w:val="24"/>
          <w:szCs w:val="24"/>
          <w:lang w:val="hy-AM"/>
        </w:rPr>
        <w:t>.</w:t>
      </w:r>
    </w:p>
    <w:p w:rsidR="005D4132" w:rsidRPr="004E7E67" w:rsidRDefault="004B7ACF" w:rsidP="00C115FB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727351">
        <w:rPr>
          <w:rFonts w:ascii="GHEA Grapalat" w:eastAsia="Calibri" w:hAnsi="GHEA Grapalat" w:cs="Calibri"/>
          <w:sz w:val="24"/>
          <w:szCs w:val="24"/>
          <w:lang w:val="hy-AM" w:eastAsia="ru-RU"/>
        </w:rPr>
        <w:tab/>
      </w:r>
      <w:r w:rsidR="005D4132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Եվրասիական տնտեսական հանձնաժողովի խորհրդի 2020 թվականի դեկտեմբերի 23-ի թիվ 128 որոշմամբ </w:t>
      </w:r>
      <w:r w:rsidR="005D4132" w:rsidRPr="00FB7126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մարդու օգտագործման դեղերի գրանցման նպատակով հայտերի ընդունումը և </w:t>
      </w:r>
      <w:r w:rsidR="00EC2EA5">
        <w:rPr>
          <w:rFonts w:ascii="GHEA Grapalat" w:eastAsia="Calibri" w:hAnsi="GHEA Grapalat" w:cs="Calibri"/>
          <w:sz w:val="24"/>
          <w:szCs w:val="24"/>
          <w:lang w:val="hy-AM" w:eastAsia="ru-RU"/>
        </w:rPr>
        <w:t>փորձաքննություն</w:t>
      </w:r>
      <w:r w:rsidRPr="00727351">
        <w:rPr>
          <w:rFonts w:ascii="GHEA Grapalat" w:eastAsia="Calibri" w:hAnsi="GHEA Grapalat" w:cs="Calibri"/>
          <w:sz w:val="24"/>
          <w:szCs w:val="24"/>
          <w:lang w:val="hy-AM" w:eastAsia="ru-RU"/>
        </w:rPr>
        <w:t>ը</w:t>
      </w:r>
      <w:r w:rsidR="00EC2EA5" w:rsidRPr="00EC2EA5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6B62CB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>2021 թվականի հուլիսի 1-ից</w:t>
      </w:r>
      <w:r w:rsidR="006B62CB" w:rsidRPr="00FB7126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5D4132" w:rsidRPr="00FB7126">
        <w:rPr>
          <w:rFonts w:ascii="GHEA Grapalat" w:eastAsia="Calibri" w:hAnsi="GHEA Grapalat" w:cs="Calibri"/>
          <w:sz w:val="24"/>
          <w:szCs w:val="24"/>
          <w:lang w:val="hy-AM" w:eastAsia="ru-RU"/>
        </w:rPr>
        <w:t>իրականացվ</w:t>
      </w:r>
      <w:r w:rsidR="00EC2EA5" w:rsidRPr="00EC2EA5">
        <w:rPr>
          <w:rFonts w:ascii="GHEA Grapalat" w:eastAsia="Calibri" w:hAnsi="GHEA Grapalat" w:cs="Calibri"/>
          <w:sz w:val="24"/>
          <w:szCs w:val="24"/>
          <w:lang w:val="hy-AM" w:eastAsia="ru-RU"/>
        </w:rPr>
        <w:t>ում է</w:t>
      </w:r>
      <w:r w:rsidR="005D4132" w:rsidRPr="00FB7126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2016 թվականի նոյեմբերի 3-ի թիվ 78 որոշմամբ հաստատված դեղերի գրանցման և փորձաքննության կանոնների համաձայն, որով սահմանվում են նաև այն դեպքերը, երբ գրանցումն իրականացվելու է ազգային օրենսդրության համաձայն: </w:t>
      </w:r>
      <w:r w:rsidR="00FB7126" w:rsidRPr="00FB7126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Ընդ որում, մինչև 2025 թվականի </w:t>
      </w:r>
      <w:r w:rsidR="0080352E">
        <w:rPr>
          <w:rFonts w:ascii="GHEA Grapalat" w:eastAsia="Calibri" w:hAnsi="GHEA Grapalat" w:cs="Calibri"/>
          <w:sz w:val="24"/>
          <w:szCs w:val="24"/>
          <w:lang w:val="hy-AM" w:eastAsia="ru-RU"/>
        </w:rPr>
        <w:t>դեկտեմբերի</w:t>
      </w:r>
      <w:r w:rsidR="00FB7126" w:rsidRPr="00FB7126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31-ը շարունակվելու է արդեն գրանցված դեղերի</w:t>
      </w:r>
      <w:r w:rsidR="00C115FB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5D4132">
        <w:rPr>
          <w:rFonts w:ascii="GHEA Grapalat" w:hAnsi="GHEA Grapalat"/>
          <w:sz w:val="24"/>
          <w:szCs w:val="24"/>
          <w:lang w:val="hy-AM"/>
        </w:rPr>
        <w:t>վերագրանցումը</w:t>
      </w:r>
      <w:r w:rsidR="00FB7126" w:rsidRPr="00FB7126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D4132">
        <w:rPr>
          <w:rFonts w:ascii="GHEA Grapalat" w:hAnsi="GHEA Grapalat"/>
          <w:sz w:val="24"/>
          <w:szCs w:val="24"/>
          <w:lang w:val="hy-AM"/>
        </w:rPr>
        <w:t xml:space="preserve"> հետգրանցումային փոփոխությունների ներկայաց</w:t>
      </w:r>
      <w:r w:rsidR="00FB7126" w:rsidRPr="00FB7126">
        <w:rPr>
          <w:rFonts w:ascii="GHEA Grapalat" w:hAnsi="GHEA Grapalat"/>
          <w:sz w:val="24"/>
          <w:szCs w:val="24"/>
          <w:lang w:val="hy-AM"/>
        </w:rPr>
        <w:t>ումը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126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12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2019 թվականի փետրվարի 28-ի N 162-Ն որոշմամբ հաստատված կարգով</w:t>
      </w:r>
      <w:r w:rsidR="00FB7126" w:rsidRPr="00FB712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</w:t>
      </w:r>
      <w:r w:rsidR="00FB7126" w:rsidRPr="00FB7126">
        <w:rPr>
          <w:rFonts w:ascii="GHEA Grapalat" w:hAnsi="GHEA Grapalat"/>
          <w:sz w:val="24"/>
          <w:szCs w:val="24"/>
          <w:lang w:val="hy-AM"/>
        </w:rPr>
        <w:t xml:space="preserve"> Բացի այդ, </w:t>
      </w:r>
      <w:r w:rsidR="005D4132">
        <w:rPr>
          <w:rFonts w:ascii="GHEA Grapalat" w:hAnsi="GHEA Grapalat"/>
          <w:sz w:val="24"/>
          <w:szCs w:val="24"/>
          <w:lang w:val="hy-AM"/>
        </w:rPr>
        <w:t>անասնաբուժական դեղերի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D4132">
        <w:rPr>
          <w:rFonts w:ascii="GHEA Grapalat" w:hAnsi="GHEA Grapalat"/>
          <w:sz w:val="24"/>
          <w:szCs w:val="24"/>
          <w:lang w:val="hy-AM"/>
        </w:rPr>
        <w:t>գրանցման</w:t>
      </w:r>
      <w:r w:rsidR="00FB7126" w:rsidRPr="00FB7126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D4132">
        <w:rPr>
          <w:rFonts w:ascii="GHEA Grapalat" w:hAnsi="GHEA Grapalat"/>
          <w:sz w:val="24"/>
          <w:szCs w:val="24"/>
          <w:lang w:val="hy-AM"/>
        </w:rPr>
        <w:t xml:space="preserve">առնչվող ԵԱՏՄ ընթացակարգերը դեռևս մշակման փուլում են, հետևաբար դրանց գրանցումը </w:t>
      </w:r>
      <w:r w:rsidR="00FB7126" w:rsidRPr="00FB7126">
        <w:rPr>
          <w:rFonts w:ascii="GHEA Grapalat" w:hAnsi="GHEA Grapalat"/>
          <w:sz w:val="24"/>
          <w:szCs w:val="24"/>
          <w:lang w:val="hy-AM"/>
        </w:rPr>
        <w:t>նույնպես</w:t>
      </w:r>
      <w:r w:rsidR="003A6EC2" w:rsidRPr="000A2EAF">
        <w:rPr>
          <w:rFonts w:ascii="GHEA Grapalat" w:hAnsi="GHEA Grapalat"/>
          <w:sz w:val="24"/>
          <w:szCs w:val="24"/>
          <w:lang w:val="hy-AM"/>
        </w:rPr>
        <w:t>՝</w:t>
      </w:r>
      <w:r w:rsidR="00FB7126" w:rsidRPr="000A2EA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EC2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>մինչև 2025 թվականի դեկտեմբերի 31-ը,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5D4132">
        <w:rPr>
          <w:rFonts w:ascii="GHEA Grapalat" w:hAnsi="GHEA Grapalat"/>
          <w:sz w:val="24"/>
          <w:szCs w:val="24"/>
          <w:lang w:val="hy-AM"/>
        </w:rPr>
        <w:t>իրականացվ</w:t>
      </w:r>
      <w:r w:rsidR="00FB7126" w:rsidRPr="00FB7126">
        <w:rPr>
          <w:rFonts w:ascii="GHEA Grapalat" w:hAnsi="GHEA Grapalat"/>
          <w:sz w:val="24"/>
          <w:szCs w:val="24"/>
          <w:lang w:val="hy-AM"/>
        </w:rPr>
        <w:t>ելու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02A78" w:rsidRPr="00802A78">
        <w:rPr>
          <w:rFonts w:ascii="GHEA Grapalat" w:hAnsi="GHEA Grapalat"/>
          <w:sz w:val="24"/>
          <w:szCs w:val="24"/>
          <w:lang w:val="hy-AM"/>
        </w:rPr>
        <w:t>է</w:t>
      </w:r>
      <w:r w:rsidR="005D4132">
        <w:rPr>
          <w:rFonts w:ascii="GHEA Grapalat" w:hAnsi="GHEA Grapalat"/>
          <w:sz w:val="24"/>
          <w:szCs w:val="24"/>
          <w:lang w:val="hy-AM"/>
        </w:rPr>
        <w:t xml:space="preserve"> ազգային ընթացակարգերով</w:t>
      </w:r>
      <w:r w:rsidR="004E7E67" w:rsidRPr="004E7E67">
        <w:rPr>
          <w:rFonts w:ascii="GHEA Grapalat" w:hAnsi="GHEA Grapalat"/>
          <w:sz w:val="24"/>
          <w:szCs w:val="24"/>
          <w:lang w:val="hy-AM"/>
        </w:rPr>
        <w:t>:</w:t>
      </w:r>
    </w:p>
    <w:p w:rsidR="00796363" w:rsidRPr="00796363" w:rsidRDefault="005B18DF" w:rsidP="00C115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5B18D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2021 թվականի հ</w:t>
      </w:r>
      <w:r w:rsidR="004E7E67" w:rsidRPr="004E7E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ուլիսի 1-ից ԵԱՏՄ</w:t>
      </w:r>
      <w:r w:rsidRPr="005B18D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գրանցման</w:t>
      </w:r>
      <w:r w:rsidR="004E7E67" w:rsidRPr="004E7E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ընթացակարգերի գործարկումը ցույց տվեց, որ</w:t>
      </w:r>
      <w:r w:rsidR="00EC2EA5" w:rsidRPr="00EC2E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4E7E67" w:rsidRPr="004E7E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կան հայտատուներ, հատկապես Հայաստանի դեղարտադրողները</w:t>
      </w:r>
      <w:r w:rsidR="004E7E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որոնք նախընտրում են դեղ</w:t>
      </w:r>
      <w:r w:rsidR="004E7E67" w:rsidRPr="004E7E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ի գրանցման հայտ ներկայացնել միայն Հայաստանում շրջանառելու նպատակով, մինչդեռ գործող կարգով նման դեպքերի համար վճարը չի տարբերակվում այն </w:t>
      </w:r>
      <w:r w:rsidR="004E7E67" w:rsidRPr="000A2E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դեպքերից, երբ</w:t>
      </w:r>
      <w:r w:rsidR="003A6EC2" w:rsidRPr="000A2E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գրանցման հայտ է ներկայացվում նաև ԵԱՏՄ այլ անդամ երկրներում շրջանառելու համար</w:t>
      </w:r>
      <w:r w:rsidR="00802A78" w:rsidRPr="000A2E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: Հաշվի առնելով այն հանգամանքը, որ իրականում որոշակի ծախսեր կրճատվում են հայտում միայն Հայաստան</w:t>
      </w:r>
      <w:r w:rsidR="00796363" w:rsidRPr="000A2E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802A78" w:rsidRPr="000A2E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նշելու դեպքում, նախագ</w:t>
      </w:r>
      <w:r w:rsidR="004E7E67" w:rsidRPr="000A2E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ծով առաջարկվում է </w:t>
      </w:r>
      <w:r w:rsidR="00802A78" w:rsidRPr="000A2EAF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որոշմամբ հաստատվա</w:t>
      </w:r>
      <w:r w:rsidR="00802A78" w:rsidRPr="00802A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 Հավելված N 1-ում</w:t>
      </w:r>
      <w:r w:rsidR="004E7E67" w:rsidRPr="004E7E6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0352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տարանջատել այդ</w:t>
      </w:r>
      <w:r w:rsidR="00802A78" w:rsidRPr="00802A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երկու դեպքերի</w:t>
      </w:r>
      <w:r w:rsidR="00C115F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02A78" w:rsidRPr="00EB632B">
        <w:rPr>
          <w:rFonts w:ascii="GHEA Grapalat" w:hAnsi="GHEA Grapalat" w:cs="AK Courier"/>
          <w:sz w:val="24"/>
          <w:szCs w:val="24"/>
          <w:lang w:val="hy-AM"/>
        </w:rPr>
        <w:t>փորձաքննության վճար</w:t>
      </w:r>
      <w:r w:rsidR="00802A78" w:rsidRPr="00802A78">
        <w:rPr>
          <w:rFonts w:ascii="GHEA Grapalat" w:hAnsi="GHEA Grapalat" w:cs="AK Courier"/>
          <w:sz w:val="24"/>
          <w:szCs w:val="24"/>
          <w:lang w:val="hy-AM"/>
        </w:rPr>
        <w:t>ները</w:t>
      </w:r>
      <w:r w:rsidR="00796363" w:rsidRPr="00796363">
        <w:rPr>
          <w:rFonts w:ascii="GHEA Grapalat" w:hAnsi="GHEA Grapalat" w:cs="AK Courier"/>
          <w:sz w:val="24"/>
          <w:szCs w:val="24"/>
          <w:lang w:val="hy-AM"/>
        </w:rPr>
        <w:t xml:space="preserve">՝ 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 xml:space="preserve">միաժամանակ </w:t>
      </w:r>
      <w:r w:rsidR="00796363" w:rsidRPr="004B7ACF">
        <w:rPr>
          <w:rFonts w:ascii="GHEA Grapalat" w:hAnsi="GHEA Grapalat" w:cs="AK Courier"/>
          <w:b/>
          <w:sz w:val="24"/>
          <w:szCs w:val="24"/>
          <w:lang w:val="hy-AM"/>
        </w:rPr>
        <w:t xml:space="preserve">իջեցնելով միայն Հայաստանում կիրառելու նպատակով գրանցման </w:t>
      </w:r>
      <w:r w:rsidR="004B7ACF" w:rsidRPr="004B7ACF">
        <w:rPr>
          <w:rFonts w:ascii="GHEA Grapalat" w:hAnsi="GHEA Grapalat" w:cs="AK Courier"/>
          <w:b/>
          <w:sz w:val="24"/>
          <w:szCs w:val="24"/>
          <w:lang w:val="hy-AM"/>
        </w:rPr>
        <w:t xml:space="preserve">համար </w:t>
      </w:r>
      <w:r w:rsidR="00796363" w:rsidRPr="004B7ACF">
        <w:rPr>
          <w:rFonts w:ascii="GHEA Grapalat" w:hAnsi="GHEA Grapalat" w:cs="AK Courier"/>
          <w:b/>
          <w:sz w:val="24"/>
          <w:szCs w:val="24"/>
          <w:lang w:val="hy-AM"/>
        </w:rPr>
        <w:t>վճարները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>:</w:t>
      </w:r>
      <w:r w:rsidR="00C115F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>Փ</w:t>
      </w:r>
      <w:r w:rsidR="00802A78" w:rsidRPr="000A2EAF">
        <w:rPr>
          <w:rFonts w:ascii="GHEA Grapalat" w:hAnsi="GHEA Grapalat" w:cs="AK Courier"/>
          <w:sz w:val="24"/>
          <w:szCs w:val="24"/>
          <w:lang w:val="hy-AM"/>
        </w:rPr>
        <w:t>ոխարենը ստեղծ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>վում է</w:t>
      </w:r>
      <w:r w:rsidR="00802A78" w:rsidRPr="000A2EAF">
        <w:rPr>
          <w:rFonts w:ascii="GHEA Grapalat" w:hAnsi="GHEA Grapalat" w:cs="AK Courier"/>
          <w:sz w:val="24"/>
          <w:szCs w:val="24"/>
          <w:lang w:val="hy-AM"/>
        </w:rPr>
        <w:t xml:space="preserve"> հնարավորություն առաջին տարբերակով գրանցված դեղի համար</w:t>
      </w:r>
      <w:r w:rsidR="00C115F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02A78" w:rsidRPr="000A2EAF">
        <w:rPr>
          <w:rFonts w:ascii="GHEA Grapalat" w:hAnsi="GHEA Grapalat" w:cs="AK Courier"/>
          <w:sz w:val="24"/>
          <w:szCs w:val="24"/>
          <w:lang w:val="hy-AM"/>
        </w:rPr>
        <w:t>հետագայում դիմել</w:t>
      </w:r>
      <w:r w:rsidR="003A6EC2" w:rsidRPr="000A2EAF">
        <w:rPr>
          <w:rFonts w:ascii="GHEA Grapalat" w:hAnsi="GHEA Grapalat" w:cs="AK Courier"/>
          <w:sz w:val="24"/>
          <w:szCs w:val="24"/>
          <w:lang w:val="hy-AM"/>
        </w:rPr>
        <w:t>՝</w:t>
      </w:r>
      <w:r w:rsidR="00802A78" w:rsidRPr="000A2EAF">
        <w:rPr>
          <w:rFonts w:ascii="GHEA Grapalat" w:hAnsi="GHEA Grapalat" w:cs="AK Courier"/>
          <w:sz w:val="24"/>
          <w:szCs w:val="24"/>
          <w:lang w:val="hy-AM"/>
        </w:rPr>
        <w:t xml:space="preserve"> անհրաժեշտ լրացումներ </w:t>
      </w:r>
      <w:r w:rsidR="003A6EC2" w:rsidRPr="000A2EAF">
        <w:rPr>
          <w:rFonts w:ascii="GHEA Grapalat" w:hAnsi="GHEA Grapalat" w:cs="AK Courier"/>
          <w:sz w:val="24"/>
          <w:szCs w:val="24"/>
          <w:lang w:val="hy-AM"/>
        </w:rPr>
        <w:t xml:space="preserve">կատարելու և </w:t>
      </w:r>
      <w:r w:rsidR="00802A78" w:rsidRPr="000A2EAF">
        <w:rPr>
          <w:rFonts w:ascii="GHEA Grapalat" w:hAnsi="GHEA Grapalat" w:cs="AK Courier"/>
          <w:sz w:val="24"/>
          <w:szCs w:val="24"/>
          <w:lang w:val="hy-AM"/>
        </w:rPr>
        <w:t>այլ անդամ երկրներում</w:t>
      </w:r>
      <w:r w:rsidR="00C115F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02A78" w:rsidRPr="00EB632B">
        <w:rPr>
          <w:rFonts w:ascii="GHEA Grapalat" w:hAnsi="GHEA Grapalat" w:cs="AK Courier"/>
          <w:sz w:val="24"/>
          <w:szCs w:val="24"/>
          <w:lang w:val="hy-AM"/>
        </w:rPr>
        <w:t xml:space="preserve">փոխադարձ ճանաչման հայտ ներկայացնել </w:t>
      </w:r>
      <w:r w:rsidR="00802A78" w:rsidRPr="00802A78">
        <w:rPr>
          <w:rFonts w:ascii="GHEA Grapalat" w:hAnsi="GHEA Grapalat" w:cs="AK Courier"/>
          <w:sz w:val="24"/>
          <w:szCs w:val="24"/>
          <w:lang w:val="hy-AM"/>
        </w:rPr>
        <w:t>նպատակով</w:t>
      </w:r>
      <w:r w:rsidR="00802A78" w:rsidRPr="00EB632B">
        <w:rPr>
          <w:rFonts w:ascii="GHEA Grapalat" w:hAnsi="GHEA Grapalat" w:cs="AK Courier"/>
          <w:sz w:val="24"/>
          <w:szCs w:val="24"/>
          <w:lang w:val="hy-AM"/>
        </w:rPr>
        <w:t>:</w:t>
      </w:r>
      <w:r w:rsidR="00802A78" w:rsidRPr="00802A7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02A78" w:rsidRPr="004B7ACF">
        <w:rPr>
          <w:rFonts w:ascii="GHEA Grapalat" w:hAnsi="GHEA Grapalat" w:cs="AK Courier"/>
          <w:b/>
          <w:sz w:val="24"/>
          <w:szCs w:val="24"/>
          <w:lang w:val="hy-AM"/>
        </w:rPr>
        <w:t xml:space="preserve">Նման մոտեցման ներդրման շնորհիվ Հայաստանի դեղարտադրողների համար կստեղծվեն ավելի բարենպաստ պայմաններ ԵԱՏՄ ընթացակարգերին </w:t>
      </w:r>
      <w:r w:rsidR="0080352E" w:rsidRPr="004B7ACF">
        <w:rPr>
          <w:rFonts w:ascii="GHEA Grapalat" w:hAnsi="GHEA Grapalat" w:cs="AK Courier"/>
          <w:b/>
          <w:sz w:val="24"/>
          <w:szCs w:val="24"/>
          <w:lang w:val="hy-AM"/>
        </w:rPr>
        <w:t>համապատասխան</w:t>
      </w:r>
      <w:r w:rsidR="00802A78" w:rsidRPr="004B7ACF">
        <w:rPr>
          <w:rFonts w:ascii="GHEA Grapalat" w:hAnsi="GHEA Grapalat" w:cs="AK Courier"/>
          <w:b/>
          <w:sz w:val="24"/>
          <w:szCs w:val="24"/>
          <w:lang w:val="hy-AM"/>
        </w:rPr>
        <w:t xml:space="preserve"> դեղերի գրանցումների հայտեր ներկայացնելու համար</w:t>
      </w:r>
      <w:r w:rsidR="00802A78" w:rsidRPr="00802A78">
        <w:rPr>
          <w:rFonts w:ascii="GHEA Grapalat" w:hAnsi="GHEA Grapalat" w:cs="AK Courier"/>
          <w:sz w:val="24"/>
          <w:szCs w:val="24"/>
          <w:lang w:val="hy-AM"/>
        </w:rPr>
        <w:t xml:space="preserve">: </w:t>
      </w:r>
    </w:p>
    <w:p w:rsidR="00EC2EA5" w:rsidRPr="00D84F8E" w:rsidRDefault="00802A78" w:rsidP="00C115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802A78">
        <w:rPr>
          <w:rFonts w:ascii="GHEA Grapalat" w:hAnsi="GHEA Grapalat" w:cs="AK Courier"/>
          <w:sz w:val="24"/>
          <w:szCs w:val="24"/>
          <w:lang w:val="hy-AM"/>
        </w:rPr>
        <w:t xml:space="preserve">Բացի այդ, գործող ցանկը կազմված է այն սկզբունքով, </w:t>
      </w:r>
      <w:r w:rsidRPr="000A2EAF">
        <w:rPr>
          <w:rFonts w:ascii="GHEA Grapalat" w:hAnsi="GHEA Grapalat" w:cs="AK Courier"/>
          <w:sz w:val="24"/>
          <w:szCs w:val="24"/>
          <w:lang w:val="hy-AM"/>
        </w:rPr>
        <w:t>որ որոշակի</w:t>
      </w:r>
      <w:r w:rsidR="00796363" w:rsidRPr="000A2EAF">
        <w:rPr>
          <w:rFonts w:ascii="GHEA Grapalat" w:hAnsi="GHEA Grapalat" w:cs="AK Courier"/>
          <w:sz w:val="24"/>
          <w:szCs w:val="24"/>
          <w:lang w:val="hy-AM"/>
        </w:rPr>
        <w:t>որեն</w:t>
      </w:r>
      <w:r w:rsidRPr="000A2EAF">
        <w:rPr>
          <w:rFonts w:ascii="GHEA Grapalat" w:hAnsi="GHEA Grapalat" w:cs="AK Courier"/>
          <w:sz w:val="24"/>
          <w:szCs w:val="24"/>
          <w:lang w:val="hy-AM"/>
        </w:rPr>
        <w:t xml:space="preserve"> տարբեր</w:t>
      </w:r>
      <w:r w:rsidR="00796363" w:rsidRPr="000A2EAF">
        <w:rPr>
          <w:rFonts w:ascii="GHEA Grapalat" w:hAnsi="GHEA Grapalat" w:cs="AK Courier"/>
          <w:sz w:val="24"/>
          <w:szCs w:val="24"/>
          <w:lang w:val="hy-AM"/>
        </w:rPr>
        <w:t>վեն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 xml:space="preserve"> վճարները</w:t>
      </w:r>
      <w:r w:rsidRPr="000A2EAF">
        <w:rPr>
          <w:rFonts w:ascii="GHEA Grapalat" w:hAnsi="GHEA Grapalat" w:cs="AK Courier"/>
          <w:sz w:val="24"/>
          <w:szCs w:val="24"/>
          <w:lang w:val="hy-AM"/>
        </w:rPr>
        <w:t xml:space="preserve"> յուրաքանչյուր հաջորդ դեղաձևի, դեղաչափի</w:t>
      </w:r>
      <w:r w:rsidR="00EC2EA5" w:rsidRPr="000A2EAF">
        <w:rPr>
          <w:rFonts w:ascii="GHEA Grapalat" w:hAnsi="GHEA Grapalat" w:cs="AK Courier"/>
          <w:sz w:val="24"/>
          <w:szCs w:val="24"/>
          <w:lang w:val="hy-AM"/>
        </w:rPr>
        <w:t xml:space="preserve">, </w:t>
      </w:r>
      <w:r w:rsidRPr="000A2EAF">
        <w:rPr>
          <w:rFonts w:ascii="GHEA Grapalat" w:hAnsi="GHEA Grapalat" w:cs="AK Courier"/>
          <w:sz w:val="24"/>
          <w:szCs w:val="24"/>
          <w:lang w:val="hy-AM"/>
        </w:rPr>
        <w:t xml:space="preserve">արտադրատարածքի </w:t>
      </w:r>
      <w:r w:rsidR="00EC2EA5" w:rsidRPr="000A2EAF">
        <w:rPr>
          <w:rFonts w:ascii="GHEA Grapalat" w:hAnsi="GHEA Grapalat" w:cs="AK Courier"/>
          <w:sz w:val="24"/>
          <w:szCs w:val="24"/>
          <w:lang w:val="hy-AM"/>
        </w:rPr>
        <w:t>կամ</w:t>
      </w:r>
      <w:r w:rsidR="00EC2EA5" w:rsidRPr="00EC2EA5">
        <w:rPr>
          <w:rFonts w:ascii="GHEA Grapalat" w:hAnsi="GHEA Grapalat" w:cs="AK Courier"/>
          <w:sz w:val="24"/>
          <w:szCs w:val="24"/>
          <w:lang w:val="hy-AM"/>
        </w:rPr>
        <w:t xml:space="preserve"> հետգրանցումային փոփոխությունների </w:t>
      </w:r>
      <w:r w:rsidRPr="000A2EAF">
        <w:rPr>
          <w:rFonts w:ascii="GHEA Grapalat" w:hAnsi="GHEA Grapalat" w:cs="AK Courier"/>
          <w:sz w:val="24"/>
          <w:szCs w:val="24"/>
          <w:lang w:val="hy-AM"/>
        </w:rPr>
        <w:t xml:space="preserve">հայտ ներկայացնելիս, որը ոչ միայն առաջացրել է </w:t>
      </w:r>
      <w:r w:rsidR="00EC2EA5" w:rsidRPr="000A2EAF">
        <w:rPr>
          <w:rFonts w:ascii="GHEA Grapalat" w:hAnsi="GHEA Grapalat" w:cs="AK Courier"/>
          <w:sz w:val="24"/>
          <w:szCs w:val="24"/>
          <w:lang w:val="hy-AM"/>
        </w:rPr>
        <w:t>բարդություններ հայտատուների համար</w:t>
      </w:r>
      <w:r w:rsidRPr="000A2EAF">
        <w:rPr>
          <w:rFonts w:ascii="GHEA Grapalat" w:hAnsi="GHEA Grapalat" w:cs="AK Courier"/>
          <w:sz w:val="24"/>
          <w:szCs w:val="24"/>
          <w:lang w:val="hy-AM"/>
        </w:rPr>
        <w:t xml:space="preserve">, քանի որ </w:t>
      </w:r>
      <w:r w:rsidR="00EC2EA5" w:rsidRPr="000A2EAF">
        <w:rPr>
          <w:rFonts w:ascii="GHEA Grapalat" w:hAnsi="GHEA Grapalat" w:cs="AK Courier"/>
          <w:sz w:val="24"/>
          <w:szCs w:val="24"/>
          <w:lang w:val="hy-AM"/>
        </w:rPr>
        <w:t>պահանջում է առաջին գրանցման հետ փոխկապակցված գրանցման դեպքի հստակ որոշում, այլ նաև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 xml:space="preserve"> չի համապատասխանում</w:t>
      </w:r>
      <w:r w:rsidR="00C115F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EC2EA5" w:rsidRPr="000A2EAF">
        <w:rPr>
          <w:rFonts w:ascii="GHEA Grapalat" w:hAnsi="GHEA Grapalat" w:cs="AK Courier"/>
          <w:sz w:val="24"/>
          <w:szCs w:val="24"/>
          <w:lang w:val="hy-AM"/>
        </w:rPr>
        <w:t>ԵԱՏՄ անդամ մյուս պետությունների վճարների սահմանման սկզբունքի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>ն</w:t>
      </w:r>
      <w:r w:rsidR="00EC2EA5" w:rsidRPr="000A2EAF">
        <w:rPr>
          <w:rFonts w:ascii="GHEA Grapalat" w:hAnsi="GHEA Grapalat" w:cs="AK Courier"/>
          <w:sz w:val="24"/>
          <w:szCs w:val="24"/>
          <w:lang w:val="hy-AM"/>
        </w:rPr>
        <w:t>, երբ հիմնականում միայն հաջորդ դեղաչափն է առանձնացվում և տոկոսային հաշվարկներ կատարելու անհրաժեշտությունը բացակայում է: Մյուս կողմից, ԵԱՏՄ ընթացակարգերով նոր ցուցումը կամ հաջորդ արտադրատարածքը նոր գրանցում չեն պահանջում, և ներկայացվում են, որպես հետգրանցումային</w:t>
      </w:r>
      <w:r w:rsidR="00EC2EA5" w:rsidRPr="00EC2EA5">
        <w:rPr>
          <w:rFonts w:ascii="GHEA Grapalat" w:hAnsi="GHEA Grapalat" w:cs="AK Courier"/>
          <w:sz w:val="24"/>
          <w:szCs w:val="24"/>
          <w:lang w:val="hy-AM"/>
        </w:rPr>
        <w:t xml:space="preserve"> փոփոխություն, ինչը չի համապատասխանում գործող ցանկին:</w:t>
      </w:r>
      <w:r w:rsidR="00D84F8E" w:rsidRPr="00D84F8E">
        <w:rPr>
          <w:rFonts w:ascii="GHEA Grapalat" w:hAnsi="GHEA Grapalat" w:cs="AK Courier"/>
          <w:sz w:val="24"/>
          <w:szCs w:val="24"/>
          <w:lang w:val="hy-AM"/>
        </w:rPr>
        <w:t xml:space="preserve"> Բացի այդ, գործող ցանկում ներառված չեն</w:t>
      </w:r>
      <w:r w:rsidR="00C115FB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84F8E" w:rsidRPr="00D84F8E">
        <w:rPr>
          <w:rFonts w:ascii="GHEA Grapalat" w:hAnsi="GHEA Grapalat" w:cs="AK Courier"/>
          <w:sz w:val="24"/>
          <w:szCs w:val="24"/>
          <w:lang w:val="hy-AM"/>
        </w:rPr>
        <w:t xml:space="preserve">հետգրանցումային փոփոխությունների հայտերի փորձաքննության ժամանակ իրականացվող լաբորատորային փորձաքննության </w:t>
      </w:r>
      <w:r w:rsidR="004B7ACF" w:rsidRPr="004B7ACF">
        <w:rPr>
          <w:rFonts w:ascii="GHEA Grapalat" w:hAnsi="GHEA Grapalat" w:cs="AK Courier"/>
          <w:sz w:val="24"/>
          <w:szCs w:val="24"/>
          <w:lang w:val="hy-AM"/>
        </w:rPr>
        <w:t>վճարները</w:t>
      </w:r>
      <w:r w:rsidR="00D84F8E" w:rsidRPr="00D84F8E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EB632B" w:rsidRPr="00D84F8E" w:rsidRDefault="00EC2EA5" w:rsidP="00C115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C2EA5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Հարկ է նշել, որ նախագծի մշակման ժամանակ ուսումնասիրվել են նաև ԵԱՏՄ բոլոր անդամ պետություններում դեղերի գրանցման և փորձաքննության </w:t>
      </w:r>
      <w:r w:rsidR="00EB632B" w:rsidRPr="00EB632B">
        <w:rPr>
          <w:rFonts w:ascii="GHEA Grapalat" w:hAnsi="GHEA Grapalat"/>
          <w:sz w:val="24"/>
          <w:szCs w:val="24"/>
          <w:lang w:val="hy-AM"/>
        </w:rPr>
        <w:t>վճարներն ու տուրքերը</w:t>
      </w:r>
      <w:r>
        <w:rPr>
          <w:rFonts w:ascii="GHEA Grapalat" w:hAnsi="GHEA Grapalat"/>
          <w:sz w:val="24"/>
          <w:szCs w:val="24"/>
          <w:lang w:val="hy-AM"/>
        </w:rPr>
        <w:t xml:space="preserve">՝ նպատակ ունենալով սահմանել </w:t>
      </w:r>
      <w:r w:rsidRPr="00EC2EA5">
        <w:rPr>
          <w:rFonts w:ascii="GHEA Grapalat" w:hAnsi="GHEA Grapalat"/>
          <w:sz w:val="24"/>
          <w:szCs w:val="24"/>
          <w:lang w:val="hy-AM"/>
        </w:rPr>
        <w:t xml:space="preserve">միության շրջանակում </w:t>
      </w:r>
      <w:r w:rsidR="00EB632B" w:rsidRPr="00EB632B">
        <w:rPr>
          <w:rFonts w:ascii="GHEA Grapalat" w:hAnsi="GHEA Grapalat"/>
          <w:sz w:val="24"/>
          <w:szCs w:val="24"/>
          <w:lang w:val="hy-AM"/>
        </w:rPr>
        <w:t xml:space="preserve">հնարավոր մրցունակ գին: </w:t>
      </w:r>
      <w:r w:rsidR="00D84F8E" w:rsidRPr="00D84F8E">
        <w:rPr>
          <w:rFonts w:ascii="GHEA Grapalat" w:hAnsi="GHEA Grapalat"/>
          <w:sz w:val="24"/>
          <w:szCs w:val="24"/>
          <w:lang w:val="hy-AM"/>
        </w:rPr>
        <w:t>Ա</w:t>
      </w:r>
      <w:r w:rsidR="00EB632B" w:rsidRPr="00EB632B">
        <w:rPr>
          <w:rFonts w:ascii="GHEA Grapalat" w:hAnsi="GHEA Grapalat"/>
          <w:sz w:val="24"/>
          <w:szCs w:val="24"/>
          <w:lang w:val="hy-AM"/>
        </w:rPr>
        <w:t>յդ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D84F8E" w:rsidRPr="00D84F8E">
        <w:rPr>
          <w:rFonts w:ascii="GHEA Grapalat" w:hAnsi="GHEA Grapalat"/>
          <w:sz w:val="24"/>
          <w:szCs w:val="24"/>
          <w:lang w:val="hy-AM"/>
        </w:rPr>
        <w:t xml:space="preserve">է </w:t>
      </w:r>
      <w:r w:rsidR="00EB632B" w:rsidRPr="00EB632B">
        <w:rPr>
          <w:rFonts w:ascii="GHEA Grapalat" w:hAnsi="GHEA Grapalat"/>
          <w:sz w:val="24"/>
          <w:szCs w:val="24"/>
          <w:lang w:val="hy-AM"/>
        </w:rPr>
        <w:t>պատճառ</w:t>
      </w:r>
      <w:r w:rsidR="00D84F8E" w:rsidRPr="00D84F8E">
        <w:rPr>
          <w:rFonts w:ascii="GHEA Grapalat" w:hAnsi="GHEA Grapalat"/>
          <w:sz w:val="24"/>
          <w:szCs w:val="24"/>
          <w:lang w:val="hy-AM"/>
        </w:rPr>
        <w:t>, որ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EB632B" w:rsidRPr="00EB632B">
        <w:rPr>
          <w:rFonts w:ascii="GHEA Grapalat" w:hAnsi="GHEA Grapalat"/>
          <w:sz w:val="24"/>
          <w:szCs w:val="24"/>
          <w:lang w:val="hy-AM"/>
        </w:rPr>
        <w:t>գործող գների համեմատությամբ որոշակիորեն նվազեցվել են առաջին անգամ գրանցվող վերարտադրված և օրիգինալ դեղերի փորձաքննության վճարները</w:t>
      </w:r>
      <w:r w:rsidR="00D84F8E" w:rsidRPr="00D84F8E">
        <w:rPr>
          <w:rFonts w:ascii="GHEA Grapalat" w:hAnsi="GHEA Grapalat"/>
          <w:sz w:val="24"/>
          <w:szCs w:val="24"/>
          <w:lang w:val="hy-AM"/>
        </w:rPr>
        <w:t>:</w:t>
      </w:r>
    </w:p>
    <w:p w:rsidR="00EB632B" w:rsidRPr="00D84F8E" w:rsidRDefault="00EB632B" w:rsidP="00C115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84F8E">
        <w:rPr>
          <w:rFonts w:ascii="GHEA Grapalat" w:hAnsi="GHEA Grapalat"/>
          <w:sz w:val="24"/>
          <w:szCs w:val="24"/>
          <w:lang w:val="hy-AM"/>
        </w:rPr>
        <w:t>Առաջարկվում է նաև ցանկից հանել</w:t>
      </w:r>
      <w:r w:rsidR="00796363" w:rsidRPr="00796363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 xml:space="preserve">12-րդ և 13-րդ կետերը, քանի որ </w:t>
      </w:r>
      <w:r w:rsidRPr="00D84F8E">
        <w:rPr>
          <w:rFonts w:ascii="GHEA Grapalat" w:hAnsi="GHEA Grapalat"/>
          <w:sz w:val="24"/>
          <w:szCs w:val="24"/>
          <w:lang w:val="hy-AM"/>
        </w:rPr>
        <w:t>մասնագիտական դիտարկումներ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>ը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4F8E">
        <w:rPr>
          <w:rFonts w:ascii="GHEA Grapalat" w:hAnsi="GHEA Grapalat"/>
          <w:sz w:val="24"/>
          <w:szCs w:val="24"/>
          <w:lang w:val="hy-AM"/>
        </w:rPr>
        <w:t>և նախագրանցումային խորհրդատվությ</w:t>
      </w:r>
      <w:r w:rsidR="005B18DF" w:rsidRPr="004B7ACF">
        <w:rPr>
          <w:rFonts w:ascii="GHEA Grapalat" w:hAnsi="GHEA Grapalat"/>
          <w:sz w:val="24"/>
          <w:szCs w:val="24"/>
          <w:lang w:val="hy-AM"/>
        </w:rPr>
        <w:t>ունը</w:t>
      </w:r>
      <w:r w:rsidR="004B7ACF" w:rsidRPr="004B7ACF">
        <w:rPr>
          <w:rFonts w:ascii="GHEA Grapalat" w:hAnsi="GHEA Grapalat"/>
          <w:sz w:val="24"/>
          <w:szCs w:val="24"/>
          <w:lang w:val="hy-AM"/>
        </w:rPr>
        <w:t xml:space="preserve"> ներառված չեն Օրենքով սահմանված</w:t>
      </w:r>
      <w:r w:rsidR="000A2EAF" w:rsidRPr="000A2EAF">
        <w:rPr>
          <w:rFonts w:ascii="GHEA Grapalat" w:hAnsi="GHEA Grapalat"/>
          <w:sz w:val="24"/>
          <w:szCs w:val="24"/>
          <w:lang w:val="hy-AM"/>
        </w:rPr>
        <w:t xml:space="preserve"> փորձաքննություններրի ցանկում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EAF" w:rsidRPr="000A2EA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84F8E">
        <w:rPr>
          <w:rFonts w:ascii="GHEA Grapalat" w:hAnsi="GHEA Grapalat"/>
          <w:sz w:val="24"/>
          <w:szCs w:val="24"/>
          <w:lang w:val="hy-AM"/>
        </w:rPr>
        <w:t>իրականացվում են պայմանագրային կարգով</w:t>
      </w:r>
      <w:r w:rsidR="00D84F8E" w:rsidRPr="00D84F8E">
        <w:rPr>
          <w:rFonts w:ascii="GHEA Grapalat" w:hAnsi="GHEA Grapalat"/>
          <w:sz w:val="24"/>
          <w:szCs w:val="24"/>
          <w:lang w:val="hy-AM"/>
        </w:rPr>
        <w:t>:</w:t>
      </w:r>
    </w:p>
    <w:p w:rsidR="00EB632B" w:rsidRPr="00D84F8E" w:rsidRDefault="00D84F8E" w:rsidP="00C115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84F8E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EB632B" w:rsidRPr="00D84F8E">
        <w:rPr>
          <w:rFonts w:ascii="GHEA Grapalat" w:hAnsi="GHEA Grapalat"/>
          <w:sz w:val="24"/>
          <w:szCs w:val="24"/>
          <w:lang w:val="hy-AM"/>
        </w:rPr>
        <w:t>Հավելված N</w:t>
      </w:r>
      <w:r w:rsidR="00E04257" w:rsidRPr="00D84F8E">
        <w:rPr>
          <w:rFonts w:ascii="GHEA Grapalat" w:hAnsi="GHEA Grapalat"/>
          <w:sz w:val="24"/>
          <w:szCs w:val="24"/>
          <w:lang w:val="hy-AM"/>
        </w:rPr>
        <w:t xml:space="preserve"> </w:t>
      </w:r>
      <w:r w:rsidR="00EB632B" w:rsidRPr="00D84F8E">
        <w:rPr>
          <w:rFonts w:ascii="GHEA Grapalat" w:hAnsi="GHEA Grapalat"/>
          <w:sz w:val="24"/>
          <w:szCs w:val="24"/>
          <w:lang w:val="hy-AM"/>
        </w:rPr>
        <w:t>2-</w:t>
      </w:r>
      <w:r w:rsidRPr="00D84F8E">
        <w:rPr>
          <w:rFonts w:ascii="GHEA Grapalat" w:hAnsi="GHEA Grapalat"/>
          <w:sz w:val="24"/>
          <w:szCs w:val="24"/>
          <w:lang w:val="hy-AM"/>
        </w:rPr>
        <w:t xml:space="preserve">ում կատարվող </w:t>
      </w:r>
      <w:r w:rsidR="0080352E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EB632B" w:rsidRPr="00D84F8E">
        <w:rPr>
          <w:rFonts w:ascii="GHEA Grapalat" w:hAnsi="GHEA Grapalat"/>
          <w:sz w:val="24"/>
          <w:szCs w:val="24"/>
          <w:lang w:val="hy-AM"/>
        </w:rPr>
        <w:t xml:space="preserve"> առնչվում </w:t>
      </w:r>
      <w:r w:rsidRPr="00D84F8E">
        <w:rPr>
          <w:rFonts w:ascii="GHEA Grapalat" w:hAnsi="GHEA Grapalat"/>
          <w:sz w:val="24"/>
          <w:szCs w:val="24"/>
          <w:lang w:val="hy-AM"/>
        </w:rPr>
        <w:t>են</w:t>
      </w:r>
      <w:r w:rsidR="00EB632B" w:rsidRPr="00D84F8E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 ներմուծվող և Հայաստանի Հանրապետությունից արտահանվող դեղերի, դեղանյութերի, դեղաբուսական հումքի և հետազոտվող դեղագործական արտադրանքի </w:t>
      </w:r>
      <w:r w:rsidR="0080352E">
        <w:rPr>
          <w:rFonts w:ascii="GHEA Grapalat" w:hAnsi="GHEA Grapalat"/>
          <w:sz w:val="24"/>
          <w:szCs w:val="24"/>
          <w:lang w:val="hy-AM"/>
        </w:rPr>
        <w:t>ներմուծման</w:t>
      </w:r>
      <w:r w:rsidR="00EB632B" w:rsidRPr="00D84F8E">
        <w:rPr>
          <w:rFonts w:ascii="GHEA Grapalat" w:hAnsi="GHEA Grapalat"/>
          <w:sz w:val="24"/>
          <w:szCs w:val="24"/>
          <w:lang w:val="hy-AM"/>
        </w:rPr>
        <w:t xml:space="preserve"> և արտահանման հավաստագիր տալու </w:t>
      </w:r>
      <w:r w:rsidR="004E0EB5" w:rsidRPr="00D84F8E">
        <w:rPr>
          <w:rFonts w:ascii="GHEA Grapalat" w:hAnsi="GHEA Grapalat"/>
          <w:sz w:val="24"/>
          <w:szCs w:val="24"/>
          <w:lang w:val="hy-AM"/>
        </w:rPr>
        <w:t xml:space="preserve">նպատակով իրականացվող փորձաքննությունների վճարներին, </w:t>
      </w:r>
      <w:r w:rsidRPr="00D84F8E">
        <w:rPr>
          <w:rFonts w:ascii="GHEA Grapalat" w:hAnsi="GHEA Grapalat"/>
          <w:sz w:val="24"/>
          <w:szCs w:val="24"/>
          <w:lang w:val="hy-AM"/>
        </w:rPr>
        <w:t>հատկապես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4E0EB5" w:rsidRPr="00D84F8E">
        <w:rPr>
          <w:rFonts w:ascii="GHEA Grapalat" w:hAnsi="GHEA Grapalat"/>
          <w:sz w:val="24"/>
          <w:szCs w:val="24"/>
          <w:lang w:val="hy-AM"/>
        </w:rPr>
        <w:t>21-ից ավելի անվանումների դեպքում վճարները ըստ յուրաքանչյուր անվանման սահմանելու</w:t>
      </w:r>
      <w:r w:rsidRPr="00D84F8E">
        <w:rPr>
          <w:rFonts w:ascii="GHEA Grapalat" w:hAnsi="GHEA Grapalat"/>
          <w:sz w:val="24"/>
          <w:szCs w:val="24"/>
          <w:lang w:val="hy-AM"/>
        </w:rPr>
        <w:t xml:space="preserve"> տարբերակին, </w:t>
      </w:r>
      <w:r w:rsidR="004E0EB5" w:rsidRPr="00D84F8E">
        <w:rPr>
          <w:rFonts w:ascii="GHEA Grapalat" w:hAnsi="GHEA Grapalat"/>
          <w:sz w:val="24"/>
          <w:szCs w:val="24"/>
          <w:lang w:val="hy-AM"/>
        </w:rPr>
        <w:t xml:space="preserve">քանի որ գործող ցանկի համաձայն 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>այդ</w:t>
      </w:r>
      <w:r w:rsidR="004E0EB5" w:rsidRPr="00D84F8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 w:rsidRPr="00D84F8E">
        <w:rPr>
          <w:rFonts w:ascii="GHEA Grapalat" w:hAnsi="GHEA Grapalat"/>
          <w:sz w:val="24"/>
          <w:szCs w:val="24"/>
          <w:lang w:val="hy-AM"/>
        </w:rPr>
        <w:t>, իրականացվող փորձաքննության ծավալը և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4F8E">
        <w:rPr>
          <w:rFonts w:ascii="GHEA Grapalat" w:hAnsi="GHEA Grapalat"/>
          <w:sz w:val="24"/>
          <w:szCs w:val="24"/>
          <w:lang w:val="hy-AM"/>
        </w:rPr>
        <w:t>սահմանված վճարը համամասնական չեն: Բացի այդ, փորձը ցույց է տալիս, որ արդարացված չէ նաև լաբորատոր փորձաքննության համար միջին գնի սահմանման սկզբունք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>ի կիրառումը</w:t>
      </w:r>
      <w:r w:rsidRPr="00D84F8E">
        <w:rPr>
          <w:rFonts w:ascii="GHEA Grapalat" w:hAnsi="GHEA Grapalat"/>
          <w:sz w:val="24"/>
          <w:szCs w:val="24"/>
          <w:lang w:val="hy-AM"/>
        </w:rPr>
        <w:t xml:space="preserve"> և ավելի նպատակահարմար է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>, որ վճարումը կատարվի՝ գումարելով</w:t>
      </w:r>
      <w:r w:rsidRPr="000A2EAF">
        <w:rPr>
          <w:rFonts w:ascii="GHEA Grapalat" w:hAnsi="GHEA Grapalat"/>
          <w:sz w:val="24"/>
          <w:szCs w:val="24"/>
          <w:lang w:val="hy-AM"/>
        </w:rPr>
        <w:t xml:space="preserve"> </w:t>
      </w:r>
      <w:r w:rsidR="00853989" w:rsidRPr="000A2EAF">
        <w:rPr>
          <w:rFonts w:ascii="GHEA Grapalat" w:hAnsi="GHEA Grapalat"/>
          <w:sz w:val="24"/>
          <w:szCs w:val="24"/>
          <w:lang w:val="hy-AM"/>
        </w:rPr>
        <w:t>յուրաքանչյուր դեպքի որակի հետազոտված</w:t>
      </w:r>
      <w:r w:rsidRPr="000A2EAF">
        <w:rPr>
          <w:rFonts w:ascii="GHEA Grapalat" w:hAnsi="GHEA Grapalat"/>
          <w:sz w:val="24"/>
          <w:szCs w:val="24"/>
          <w:lang w:val="hy-AM"/>
        </w:rPr>
        <w:t xml:space="preserve"> ցուցանիշների 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>համար հաշվարկված վճարները, ինչն ընդունված մոտեցում է նաև ԵԱՏՄ անդամ այլ պետություններում</w:t>
      </w:r>
      <w:r w:rsidR="0080352E" w:rsidRPr="000A2EAF">
        <w:rPr>
          <w:rFonts w:ascii="GHEA Grapalat" w:hAnsi="GHEA Grapalat"/>
          <w:sz w:val="24"/>
          <w:szCs w:val="24"/>
          <w:lang w:val="hy-AM"/>
        </w:rPr>
        <w:t>:</w:t>
      </w:r>
      <w:r w:rsidRPr="00D84F8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B632B" w:rsidRDefault="0080352E" w:rsidP="00C115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0352E">
        <w:rPr>
          <w:rFonts w:ascii="GHEA Grapalat" w:hAnsi="GHEA Grapalat"/>
          <w:sz w:val="24"/>
          <w:szCs w:val="24"/>
          <w:lang w:val="hy-AM"/>
        </w:rPr>
        <w:t xml:space="preserve">Իրական ծախսերի համեմատությամբ չափազանց 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>ցածր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3989" w:rsidRPr="00853989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80352E">
        <w:rPr>
          <w:rFonts w:ascii="GHEA Grapalat" w:hAnsi="GHEA Grapalat"/>
          <w:sz w:val="24"/>
          <w:szCs w:val="24"/>
          <w:lang w:val="hy-AM"/>
        </w:rPr>
        <w:t xml:space="preserve">նաև կլինիկական փորձարկումների </w:t>
      </w:r>
      <w:r w:rsidRPr="000A2EAF">
        <w:rPr>
          <w:rFonts w:ascii="GHEA Grapalat" w:hAnsi="GHEA Grapalat"/>
          <w:sz w:val="24"/>
          <w:szCs w:val="24"/>
          <w:lang w:val="hy-AM"/>
        </w:rPr>
        <w:t>թույլտվության նպատակով իրականացվող փորձաքննության վճարները,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 xml:space="preserve"> մինդեռ կատարվող աշխատանք</w:t>
      </w:r>
      <w:r w:rsidR="004B7ACF" w:rsidRPr="004B7ACF">
        <w:rPr>
          <w:rFonts w:ascii="GHEA Grapalat" w:hAnsi="GHEA Grapalat"/>
          <w:sz w:val="24"/>
          <w:szCs w:val="24"/>
          <w:lang w:val="hy-AM"/>
        </w:rPr>
        <w:t>ներ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>ի ծավալը գրանցման ժամանակ իրականացվող փորձաքննությունից շատ քիչ է տարբերվում,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2EAF">
        <w:rPr>
          <w:rFonts w:ascii="GHEA Grapalat" w:hAnsi="GHEA Grapalat"/>
          <w:sz w:val="24"/>
          <w:szCs w:val="24"/>
          <w:lang w:val="hy-AM"/>
        </w:rPr>
        <w:t>ուստի նախագծով վերանայ</w:t>
      </w:r>
      <w:r w:rsidR="00853989" w:rsidRPr="000A2EAF">
        <w:rPr>
          <w:rFonts w:ascii="GHEA Grapalat" w:hAnsi="GHEA Grapalat"/>
          <w:sz w:val="24"/>
          <w:szCs w:val="24"/>
          <w:lang w:val="hy-AM"/>
        </w:rPr>
        <w:t>վ</w:t>
      </w:r>
      <w:r w:rsidRPr="000A2EAF">
        <w:rPr>
          <w:rFonts w:ascii="GHEA Grapalat" w:hAnsi="GHEA Grapalat"/>
          <w:sz w:val="24"/>
          <w:szCs w:val="24"/>
          <w:lang w:val="hy-AM"/>
        </w:rPr>
        <w:t>ել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3989" w:rsidRPr="000A2EAF">
        <w:rPr>
          <w:rFonts w:ascii="GHEA Grapalat" w:hAnsi="GHEA Grapalat"/>
          <w:sz w:val="24"/>
          <w:szCs w:val="24"/>
          <w:lang w:val="hy-AM"/>
        </w:rPr>
        <w:t>է</w:t>
      </w:r>
      <w:r w:rsidR="00C115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2EA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EB632B" w:rsidRPr="000A2EAF">
        <w:rPr>
          <w:rFonts w:ascii="GHEA Grapalat" w:hAnsi="GHEA Grapalat"/>
          <w:sz w:val="24"/>
          <w:szCs w:val="24"/>
          <w:lang w:val="hy-AM"/>
        </w:rPr>
        <w:t>Հավելված N 3</w:t>
      </w:r>
      <w:r w:rsidRPr="000A2EAF">
        <w:rPr>
          <w:rFonts w:ascii="GHEA Grapalat" w:hAnsi="GHEA Grapalat"/>
          <w:sz w:val="24"/>
          <w:szCs w:val="24"/>
          <w:lang w:val="hy-AM"/>
        </w:rPr>
        <w:t>-ը:</w:t>
      </w:r>
    </w:p>
    <w:p w:rsidR="001244C9" w:rsidRPr="000A2EAF" w:rsidRDefault="001244C9" w:rsidP="00C115F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Բոլոր հաշվարկները կից ներկայացված են:</w:t>
      </w:r>
    </w:p>
    <w:p w:rsidR="004B7ACF" w:rsidRPr="00727351" w:rsidRDefault="004B7ACF" w:rsidP="00C115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0855A0" w:rsidRPr="000A2EAF" w:rsidRDefault="00494389" w:rsidP="00C115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A2EAF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 </w:t>
      </w:r>
      <w:r w:rsidR="00562DAA" w:rsidRPr="000B6167">
        <w:rPr>
          <w:rFonts w:ascii="GHEA Grapalat" w:hAnsi="GHEA Grapalat" w:cs="AK Courier"/>
          <w:sz w:val="24"/>
          <w:szCs w:val="24"/>
          <w:lang w:val="hy-AM"/>
        </w:rPr>
        <w:t>3.</w:t>
      </w:r>
      <w:r w:rsidR="000855A0" w:rsidRPr="000A2EAF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Կարգավորման նպատակը և բնույթը.</w:t>
      </w:r>
    </w:p>
    <w:p w:rsidR="003663C7" w:rsidRPr="004B7ACF" w:rsidRDefault="00C115FB" w:rsidP="00C115FB">
      <w:pPr>
        <w:pStyle w:val="NoSpacing"/>
        <w:spacing w:line="360" w:lineRule="auto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0855A0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Նախագծի նպատակն է ապահովել </w:t>
      </w:r>
      <w:r w:rsidR="005B18DF" w:rsidRPr="005B18D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Հայաստանի Հանրապետությունում </w:t>
      </w:r>
      <w:r w:rsidR="0080352E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>դեղերի շրջանառության</w:t>
      </w:r>
      <w:r w:rsidR="005B18DF" w:rsidRPr="005B18D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պետական </w:t>
      </w:r>
      <w:r w:rsidR="0080352E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>կարգավորման ոլորտում իրականացվող</w:t>
      </w:r>
      <w:r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5B18DF">
        <w:rPr>
          <w:rFonts w:ascii="GHEA Grapalat" w:eastAsia="Calibri" w:hAnsi="GHEA Grapalat" w:cs="Calibri"/>
          <w:sz w:val="24"/>
          <w:szCs w:val="24"/>
          <w:lang w:val="hy-AM" w:eastAsia="ru-RU"/>
        </w:rPr>
        <w:t>փորձաքննությ</w:t>
      </w:r>
      <w:r w:rsidR="005B18DF" w:rsidRPr="005B18DF">
        <w:rPr>
          <w:rFonts w:ascii="GHEA Grapalat" w:eastAsia="Calibri" w:hAnsi="GHEA Grapalat" w:cs="Calibri"/>
          <w:sz w:val="24"/>
          <w:szCs w:val="24"/>
          <w:lang w:val="hy-AM" w:eastAsia="ru-RU"/>
        </w:rPr>
        <w:t>ունների</w:t>
      </w:r>
      <w:r w:rsidR="0080352E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ավելի հստակ</w:t>
      </w:r>
      <w:r w:rsidR="004B7ACF" w:rsidRPr="00727351">
        <w:rPr>
          <w:rFonts w:ascii="GHEA Grapalat" w:eastAsia="Calibri" w:hAnsi="GHEA Grapalat" w:cs="Calibri"/>
          <w:sz w:val="24"/>
          <w:szCs w:val="24"/>
          <w:lang w:val="hy-AM" w:eastAsia="ru-RU"/>
        </w:rPr>
        <w:t>, մրցունակ</w:t>
      </w:r>
      <w:r w:rsidR="003663C7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</w:t>
      </w:r>
      <w:r w:rsidR="00853989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և իրատեսական </w:t>
      </w:r>
      <w:r w:rsidR="003663C7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>վճարներ</w:t>
      </w:r>
      <w:r w:rsidR="0080352E" w:rsidRPr="000A2EA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՝ միաժամանակ </w:t>
      </w:r>
      <w:r w:rsidR="005B18DF" w:rsidRPr="004B7ACF">
        <w:rPr>
          <w:rFonts w:ascii="GHEA Grapalat" w:eastAsia="Calibri" w:hAnsi="GHEA Grapalat" w:cs="Calibri"/>
          <w:sz w:val="24"/>
          <w:szCs w:val="24"/>
          <w:lang w:val="hy-AM" w:eastAsia="ru-RU"/>
        </w:rPr>
        <w:t>ստեղծելով</w:t>
      </w:r>
      <w:r w:rsidR="0080352E" w:rsidRPr="004B7ACF">
        <w:rPr>
          <w:rFonts w:ascii="GHEA Grapalat" w:eastAsia="Calibri" w:hAnsi="GHEA Grapalat" w:cs="Calibri"/>
          <w:sz w:val="24"/>
          <w:szCs w:val="24"/>
          <w:lang w:val="hy-AM" w:eastAsia="ru-RU"/>
        </w:rPr>
        <w:t xml:space="preserve"> բարենպաստ պայմաններ տեղական դեղարտադրողների համար:</w:t>
      </w:r>
    </w:p>
    <w:p w:rsidR="00562DAA" w:rsidRPr="00743B8A" w:rsidRDefault="008464E8" w:rsidP="00C115F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 w:eastAsia="ru-RU"/>
        </w:rPr>
      </w:pPr>
      <w:r w:rsidRPr="00853989">
        <w:rPr>
          <w:rFonts w:ascii="GHEA Grapalat" w:hAnsi="GHEA Grapalat" w:cs="Arial"/>
          <w:b/>
          <w:sz w:val="24"/>
          <w:szCs w:val="24"/>
          <w:lang w:val="hy-AM"/>
        </w:rPr>
        <w:tab/>
      </w:r>
    </w:p>
    <w:p w:rsidR="00562DAA" w:rsidRPr="008853AE" w:rsidRDefault="00562DAA" w:rsidP="00C115FB">
      <w:pPr>
        <w:pStyle w:val="NoSpacing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62DAA">
        <w:rPr>
          <w:rFonts w:ascii="GHEA Grapalat" w:hAnsi="GHEA Grapalat" w:cs="Arial"/>
          <w:b/>
          <w:sz w:val="24"/>
          <w:szCs w:val="24"/>
          <w:lang w:val="hy-AM"/>
        </w:rPr>
        <w:t>4.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Նախագծի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մշակման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գործընթացում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ներգրավված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ինստիտուտները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8853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AE">
        <w:rPr>
          <w:rFonts w:ascii="GHEA Grapalat" w:hAnsi="GHEA Grapalat" w:cs="Arial"/>
          <w:b/>
          <w:sz w:val="24"/>
          <w:szCs w:val="24"/>
          <w:lang w:val="hy-AM"/>
        </w:rPr>
        <w:t>անձինք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562DAA" w:rsidRPr="008853AE" w:rsidRDefault="00562DAA" w:rsidP="00C115FB">
      <w:pPr>
        <w:pStyle w:val="NoSpacing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62DAA" w:rsidRPr="00EB6C2D" w:rsidRDefault="00C115FB" w:rsidP="00C115FB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62DAA" w:rsidRPr="00CE03E3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562DAA"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ախագիծը մշակվել է </w:t>
      </w:r>
      <w:r w:rsidR="00562DAA">
        <w:rPr>
          <w:rFonts w:ascii="GHEA Grapalat" w:eastAsia="Times New Roman" w:hAnsi="GHEA Grapalat"/>
          <w:sz w:val="24"/>
          <w:szCs w:val="24"/>
          <w:lang w:val="hy-AM"/>
        </w:rPr>
        <w:t>Ա</w:t>
      </w:r>
      <w:r w:rsidR="00562DAA"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ռողջապահության նախարարության դեղորայքային քաղաքականության և բժշկական </w:t>
      </w:r>
      <w:r w:rsidR="00562DAA">
        <w:rPr>
          <w:rFonts w:ascii="GHEA Grapalat" w:eastAsia="Times New Roman" w:hAnsi="GHEA Grapalat"/>
          <w:sz w:val="24"/>
          <w:szCs w:val="24"/>
          <w:lang w:val="hy-AM"/>
        </w:rPr>
        <w:t>տեխնոլոգիաների</w:t>
      </w:r>
      <w:r w:rsidR="00562DAA" w:rsidRPr="007636F5">
        <w:rPr>
          <w:rFonts w:ascii="GHEA Grapalat" w:eastAsia="Times New Roman" w:hAnsi="GHEA Grapalat"/>
          <w:sz w:val="24"/>
          <w:szCs w:val="24"/>
          <w:lang w:val="hy-AM"/>
        </w:rPr>
        <w:t xml:space="preserve"> վարչության և ՀՀ առողջապահության նախարարության «Ակադեմիկոս Էմիլ Գաբրիելյանի անվան դեղերի և բժշկական տեխնոլոգիաների փորձագիտական կենտրոն» ՓԲԸ-ի կողմից:</w:t>
      </w:r>
    </w:p>
    <w:p w:rsidR="00562DAA" w:rsidRPr="00EB6C2D" w:rsidRDefault="00562DAA" w:rsidP="00C115FB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62DAA" w:rsidRPr="00127ED1" w:rsidRDefault="00562DAA" w:rsidP="00C115FB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127ED1">
        <w:rPr>
          <w:rFonts w:ascii="GHEA Grapalat" w:hAnsi="GHEA Grapalat"/>
          <w:b/>
          <w:sz w:val="24"/>
          <w:szCs w:val="24"/>
          <w:lang w:val="hy-AM"/>
        </w:rPr>
        <w:t xml:space="preserve">. Լրացուցիչ </w:t>
      </w:r>
      <w:r w:rsidRPr="00127ED1">
        <w:rPr>
          <w:rFonts w:ascii="GHEA Grapalat" w:hAnsi="GHEA Grapalat" w:cs="Sylfaen"/>
          <w:b/>
          <w:sz w:val="24"/>
          <w:szCs w:val="24"/>
          <w:lang w:val="af-ZA"/>
        </w:rPr>
        <w:t>ֆինանսական</w:t>
      </w:r>
      <w:r w:rsidRPr="00127ED1">
        <w:rPr>
          <w:rFonts w:ascii="GHEA Grapalat" w:hAnsi="GHEA Grapalat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62DAA" w:rsidRPr="00127ED1" w:rsidRDefault="00C115FB" w:rsidP="00C115F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B18DF" w:rsidRPr="005B18DF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562DAA" w:rsidRPr="00127ED1">
        <w:rPr>
          <w:rFonts w:ascii="GHEA Grapalat" w:hAnsi="GHEA Grapalat"/>
          <w:sz w:val="24"/>
          <w:szCs w:val="24"/>
          <w:lang w:val="hy-AM"/>
        </w:rPr>
        <w:t>նախագծի ընդունումը 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62DAA" w:rsidRPr="00127ED1">
        <w:rPr>
          <w:rFonts w:ascii="GHEA Grapalat" w:hAnsi="GHEA Grapalat"/>
          <w:sz w:val="24"/>
          <w:szCs w:val="24"/>
          <w:lang w:val="hy-AM"/>
        </w:rPr>
        <w:t>202</w:t>
      </w:r>
      <w:r w:rsidR="00562DAA">
        <w:rPr>
          <w:rFonts w:ascii="GHEA Grapalat" w:hAnsi="GHEA Grapalat"/>
          <w:sz w:val="24"/>
          <w:szCs w:val="24"/>
          <w:lang w:val="hy-AM"/>
        </w:rPr>
        <w:t>2</w:t>
      </w:r>
      <w:r w:rsidR="00562DAA" w:rsidRPr="00127ED1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եկամուտների և ծախսերի փոփոխության չի հանգեցնի:</w:t>
      </w:r>
    </w:p>
    <w:p w:rsidR="00562DAA" w:rsidRPr="00D84721" w:rsidRDefault="00562DAA" w:rsidP="00C115FB">
      <w:pPr>
        <w:pStyle w:val="ListParagraph"/>
        <w:numPr>
          <w:ilvl w:val="0"/>
          <w:numId w:val="2"/>
        </w:numPr>
        <w:ind w:left="0" w:firstLine="0"/>
        <w:jc w:val="both"/>
        <w:rPr>
          <w:rFonts w:ascii="GHEA Grapalat" w:hAnsi="GHEA Grapalat"/>
          <w:b/>
          <w:lang w:val="hy-AM"/>
        </w:rPr>
      </w:pPr>
      <w:r w:rsidRPr="00D8472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0855A0" w:rsidRPr="000855A0" w:rsidRDefault="00562DAA" w:rsidP="00C115FB">
      <w:pPr>
        <w:spacing w:after="0" w:line="360" w:lineRule="auto"/>
        <w:jc w:val="both"/>
        <w:rPr>
          <w:lang w:val="hy-AM"/>
        </w:rPr>
      </w:pPr>
      <w:r w:rsidRPr="0080637F">
        <w:rPr>
          <w:rFonts w:ascii="GHEA Grapalat" w:hAnsi="GHEA Grapalat" w:cs="Arial"/>
          <w:sz w:val="24"/>
          <w:szCs w:val="24"/>
          <w:lang w:val="hy-AM"/>
        </w:rPr>
        <w:t xml:space="preserve">Սույն նախագիծը չի բխում 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>ռազմավարական</w:t>
      </w:r>
      <w:r w:rsidRPr="000523F9">
        <w:rPr>
          <w:rFonts w:ascii="GHEA Grapalat" w:eastAsia="Times New Roman" w:hAnsi="GHEA Grapalat"/>
          <w:sz w:val="24"/>
          <w:szCs w:val="24"/>
          <w:lang w:val="hy-AM"/>
        </w:rPr>
        <w:t xml:space="preserve"> կամ ծրագրային որևէ</w:t>
      </w:r>
      <w:r w:rsidRPr="009B594C">
        <w:rPr>
          <w:rFonts w:ascii="GHEA Grapalat" w:eastAsia="Times New Roman" w:hAnsi="GHEA Grapalat"/>
          <w:sz w:val="24"/>
          <w:szCs w:val="24"/>
          <w:lang w:val="hy-AM"/>
        </w:rPr>
        <w:t xml:space="preserve"> փաստաթղթերից</w:t>
      </w:r>
      <w:r w:rsidRPr="000523F9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bookmarkStart w:id="0" w:name="_GoBack"/>
      <w:bookmarkEnd w:id="0"/>
    </w:p>
    <w:sectPr w:rsidR="000855A0" w:rsidRPr="000855A0" w:rsidSect="00C115FB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F3"/>
    <w:rsid w:val="00023DDF"/>
    <w:rsid w:val="000523F9"/>
    <w:rsid w:val="000855A0"/>
    <w:rsid w:val="000A2EAF"/>
    <w:rsid w:val="000B6167"/>
    <w:rsid w:val="001244C9"/>
    <w:rsid w:val="0014558A"/>
    <w:rsid w:val="00362B45"/>
    <w:rsid w:val="003663C7"/>
    <w:rsid w:val="003A6EC2"/>
    <w:rsid w:val="00494389"/>
    <w:rsid w:val="004B7ACF"/>
    <w:rsid w:val="004E0EB5"/>
    <w:rsid w:val="004E7E67"/>
    <w:rsid w:val="00560B0A"/>
    <w:rsid w:val="00562DAA"/>
    <w:rsid w:val="005B18DF"/>
    <w:rsid w:val="005D4132"/>
    <w:rsid w:val="005D7BC4"/>
    <w:rsid w:val="006B62CB"/>
    <w:rsid w:val="00727351"/>
    <w:rsid w:val="00743B8A"/>
    <w:rsid w:val="00750ECC"/>
    <w:rsid w:val="007752E9"/>
    <w:rsid w:val="00796363"/>
    <w:rsid w:val="007A4EF3"/>
    <w:rsid w:val="007C3A51"/>
    <w:rsid w:val="00802A78"/>
    <w:rsid w:val="0080352E"/>
    <w:rsid w:val="0080637F"/>
    <w:rsid w:val="008464E8"/>
    <w:rsid w:val="00853989"/>
    <w:rsid w:val="009E5337"/>
    <w:rsid w:val="009E5FD7"/>
    <w:rsid w:val="00B92FB1"/>
    <w:rsid w:val="00BA4203"/>
    <w:rsid w:val="00BD6490"/>
    <w:rsid w:val="00C115FB"/>
    <w:rsid w:val="00D84F8E"/>
    <w:rsid w:val="00E04257"/>
    <w:rsid w:val="00EB632B"/>
    <w:rsid w:val="00EB6C2D"/>
    <w:rsid w:val="00EC2EA5"/>
    <w:rsid w:val="00F1437B"/>
    <w:rsid w:val="00F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9ACD6"/>
  <w15:docId w15:val="{AFC9F6F3-2FCA-4B88-8E1D-982F5D2B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855A0"/>
    <w:rPr>
      <w:b/>
      <w:bCs/>
    </w:rPr>
  </w:style>
  <w:style w:type="paragraph" w:styleId="ListParagraph">
    <w:name w:val="List Paragraph"/>
    <w:basedOn w:val="Normal"/>
    <w:uiPriority w:val="34"/>
    <w:qFormat/>
    <w:rsid w:val="000855A0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0855A0"/>
    <w:pPr>
      <w:spacing w:after="0" w:line="240" w:lineRule="auto"/>
    </w:pPr>
    <w:rPr>
      <w:lang w:val="en-US"/>
    </w:rPr>
  </w:style>
  <w:style w:type="character" w:styleId="Emphasis">
    <w:name w:val="Emphasis"/>
    <w:qFormat/>
    <w:rsid w:val="00085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DF319-10FE-40DB-806C-33FE23F6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https:/mul2-moh.gov.am/tasks/339997/oneclick/Himnavorum.docx?token=31d4a66ae995eeccadaaee69113b65d6</cp:keywords>
  <dc:description/>
  <cp:lastModifiedBy>MOH</cp:lastModifiedBy>
  <cp:revision>2</cp:revision>
  <cp:lastPrinted>2022-02-15T06:30:00Z</cp:lastPrinted>
  <dcterms:created xsi:type="dcterms:W3CDTF">2022-03-28T07:29:00Z</dcterms:created>
  <dcterms:modified xsi:type="dcterms:W3CDTF">2022-03-28T07:29:00Z</dcterms:modified>
</cp:coreProperties>
</file>