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0D132" w14:textId="77777777" w:rsidR="00D96A8B" w:rsidRPr="0059480C" w:rsidRDefault="00D96A8B" w:rsidP="0059480C">
      <w:pPr>
        <w:spacing w:after="0" w:line="360" w:lineRule="auto"/>
        <w:jc w:val="both"/>
        <w:rPr>
          <w:rFonts w:ascii="GHEA Grapalat" w:eastAsia="Calibri" w:hAnsi="GHEA Grapalat" w:cs="Times New Roman"/>
          <w:lang w:val="hy-AM"/>
        </w:rPr>
      </w:pPr>
    </w:p>
    <w:p w14:paraId="2C4663E0" w14:textId="77777777" w:rsidR="00D96A8B" w:rsidRPr="0059480C" w:rsidRDefault="00D96A8B" w:rsidP="0059480C">
      <w:pPr>
        <w:spacing w:after="0" w:line="360" w:lineRule="auto"/>
        <w:jc w:val="center"/>
        <w:rPr>
          <w:rFonts w:ascii="GHEA Grapalat" w:eastAsia="Calibri" w:hAnsi="GHEA Grapalat" w:cs="Times New Roman"/>
          <w:sz w:val="24"/>
          <w:szCs w:val="24"/>
          <w:lang w:val="hy-AM"/>
        </w:rPr>
      </w:pPr>
      <w:r w:rsidRPr="0059480C">
        <w:rPr>
          <w:rFonts w:ascii="GHEA Grapalat" w:eastAsia="Calibri" w:hAnsi="GHEA Grapalat" w:cs="Times New Roman"/>
          <w:sz w:val="24"/>
          <w:szCs w:val="24"/>
          <w:lang w:val="hy-AM"/>
        </w:rPr>
        <w:t>ՀԻՄՆԱՎՈՐՈՒՄ</w:t>
      </w:r>
    </w:p>
    <w:p w14:paraId="237253C1" w14:textId="6F03F1D9" w:rsidR="00D96A8B" w:rsidRPr="0059480C" w:rsidRDefault="00D96A8B" w:rsidP="0059480C">
      <w:pPr>
        <w:spacing w:after="0" w:line="360" w:lineRule="auto"/>
        <w:jc w:val="center"/>
        <w:rPr>
          <w:rFonts w:ascii="GHEA Grapalat" w:eastAsia="Calibri" w:hAnsi="GHEA Grapalat" w:cs="Times New Roman"/>
          <w:sz w:val="24"/>
          <w:szCs w:val="24"/>
          <w:lang w:val="hy-AM"/>
        </w:rPr>
      </w:pPr>
      <w:r w:rsidRPr="0059480C">
        <w:rPr>
          <w:rFonts w:ascii="GHEA Grapalat" w:eastAsia="Calibri" w:hAnsi="GHEA Grapalat" w:cs="Times New Roman"/>
          <w:sz w:val="24"/>
          <w:szCs w:val="24"/>
          <w:lang w:val="hy-AM"/>
        </w:rPr>
        <w:t xml:space="preserve">«ԱՌԵՎՏՐԻ ԵՎ  ԾԱՌԱՅՈՒԹՅՈՒՆՆԵՐԻ ՄԱՍԻՆ» ՀԱՅԱՍՏԱՆԻ ՀԱՆՐԱՊԵՏՈՒԹՅԱՆ ՕՐԵՆՔՈՒՄ ԼՐԱՑՈՒՄՆԵՐ ԿԱՏԱՐԵԼՈՒ ՄԱՍԻՆ», </w:t>
      </w:r>
      <w:r w:rsidR="0059480C">
        <w:rPr>
          <w:rFonts w:ascii="GHEA Grapalat" w:eastAsia="Calibri" w:hAnsi="GHEA Grapalat" w:cs="Times New Roman"/>
          <w:sz w:val="24"/>
          <w:szCs w:val="24"/>
          <w:lang w:val="hy-AM"/>
        </w:rPr>
        <w:t>«</w:t>
      </w:r>
      <w:r w:rsidRPr="0059480C">
        <w:rPr>
          <w:rFonts w:ascii="GHEA Grapalat" w:eastAsia="Calibri" w:hAnsi="GHEA Grapalat" w:cs="Arial"/>
          <w:sz w:val="24"/>
          <w:szCs w:val="24"/>
          <w:lang w:val="hy-AM"/>
        </w:rPr>
        <w:t>ՏՆՏԵՍԱԿԱՆ ՄՐՑԱԿՑՈՒԹՅԱՆ ՊԱՇՏՊԱՆՈՒԹՅԱՆ ՄԱՍԻՆ</w:t>
      </w:r>
      <w:r w:rsidR="0059480C">
        <w:rPr>
          <w:rFonts w:ascii="GHEA Grapalat" w:eastAsia="Calibri" w:hAnsi="GHEA Grapalat" w:cs="Arial"/>
          <w:sz w:val="24"/>
          <w:szCs w:val="24"/>
          <w:lang w:val="hy-AM"/>
        </w:rPr>
        <w:t>»</w:t>
      </w:r>
      <w:r w:rsidRPr="0059480C">
        <w:rPr>
          <w:rFonts w:ascii="GHEA Grapalat" w:eastAsia="Calibri" w:hAnsi="GHEA Grapalat" w:cs="Times New Roman"/>
          <w:sz w:val="24"/>
          <w:szCs w:val="24"/>
          <w:lang w:val="hy-AM"/>
        </w:rPr>
        <w:t xml:space="preserve"> ՀԱՅԱՍՏԱՆԻ ՀԱՆՐԱՊԵՏՈՒԹՅԱՆ ՕՐԵՆՔՈՒՄ ԼՐԱՑՈՒՄ ԿԱՏԱՐԵԼՈՒ ՄԱՍԻՆ</w:t>
      </w:r>
      <w:r w:rsidR="0059480C">
        <w:rPr>
          <w:rFonts w:ascii="GHEA Grapalat" w:eastAsia="Calibri" w:hAnsi="GHEA Grapalat" w:cs="Times New Roman"/>
          <w:sz w:val="24"/>
          <w:szCs w:val="24"/>
          <w:lang w:val="hy-AM"/>
        </w:rPr>
        <w:t>»</w:t>
      </w:r>
      <w:r w:rsidRPr="0059480C">
        <w:rPr>
          <w:rFonts w:ascii="GHEA Grapalat" w:eastAsia="Calibri" w:hAnsi="GHEA Grapalat" w:cs="Times New Roman"/>
          <w:sz w:val="24"/>
          <w:szCs w:val="24"/>
          <w:lang w:val="hy-AM"/>
        </w:rPr>
        <w:t>,  «ՎԱՐՉԱԿԱՆ ԻՐԱՎԱԽԱԽՏՈՒՄՆԵՐԻ ՄԱՍԻՆ ՀԱՅԱՍՏԱՆԻ ՀԱՆՐԱՊԵՏՈՒԹՅԱՆ ՕՐԵՆՔՈՒՄ ԼՐԱՑՈՒՄՆԵՐ ԿԱՏԱՐԵԼՈՒ ՄԱՍԻՆ», «ՍՊԱՌՈՂՆԵՐԻ ԻՐԱՎՈՒՆՔՆԵՐԻ ՊԱՇՏՊԱՆՈՒԹՅԱՆ ՄԱՍԻՆ ՀԱՅԱՍՏԱՆԻ ՀԱՆՐԱՊԵՏՈՒԹՅԱՆ ՕՐԵՆՔՈՒՄ ԼՐԱՑՈՒՄ ԿԱՏԱՐԵԼՈՒ ՄԱՍԻՆ»,  «ԳՈՎԱԶԴԻ ՄԱՍԻՆ» ՀԱՅԱՍՏԱՆԻ ՀԱՆՐԱՊԵՏՈՒԹՅԱՆ ՕՐԵՆՔՈՒՄ ԼՐԱՑՈՒՄ ԿԱՏԱՐԵԼՈՒ ՄԱՍԻՆ» ՀԱՅԱՍՏԱՆԻ ՀԱՆՐԱՊԵՏՈՒԹՅԱՆ ՕՐԵՆՔՆԵՐԻ ՆԱԽԱԳԾԵՐԻ (ԱՅՍՈՒՀԵՏ՝ ՕՐԵՆՔՆԵՐԻ ՆԱԽԱԳԾԵՐ) ԸՆԴՈՒՆՄԱՆ ՄԱՍԻՆ</w:t>
      </w:r>
    </w:p>
    <w:p w14:paraId="7403E29C" w14:textId="77777777" w:rsidR="00D96A8B" w:rsidRPr="0059480C" w:rsidRDefault="00D96A8B" w:rsidP="0059480C">
      <w:pPr>
        <w:spacing w:after="0" w:line="360" w:lineRule="auto"/>
        <w:jc w:val="center"/>
        <w:rPr>
          <w:rFonts w:ascii="GHEA Grapalat" w:eastAsia="Calibri" w:hAnsi="GHEA Grapalat" w:cs="Times New Roman"/>
          <w:sz w:val="24"/>
          <w:szCs w:val="24"/>
          <w:lang w:val="hy-AM"/>
        </w:rPr>
      </w:pPr>
    </w:p>
    <w:p w14:paraId="54197029" w14:textId="77777777" w:rsidR="00D96A8B" w:rsidRPr="0059480C" w:rsidRDefault="00D96A8B" w:rsidP="0059480C">
      <w:pPr>
        <w:numPr>
          <w:ilvl w:val="0"/>
          <w:numId w:val="1"/>
        </w:numPr>
        <w:spacing w:after="0" w:line="360" w:lineRule="auto"/>
        <w:ind w:left="0" w:firstLine="0"/>
        <w:jc w:val="both"/>
        <w:rPr>
          <w:rFonts w:ascii="GHEA Grapalat" w:eastAsia="Calibri" w:hAnsi="GHEA Grapalat" w:cs="Times New Roman"/>
          <w:b/>
          <w:sz w:val="24"/>
          <w:szCs w:val="24"/>
        </w:rPr>
      </w:pPr>
      <w:proofErr w:type="spellStart"/>
      <w:r w:rsidRPr="0059480C">
        <w:rPr>
          <w:rFonts w:ascii="GHEA Grapalat" w:eastAsia="Calibri" w:hAnsi="GHEA Grapalat" w:cs="Times New Roman"/>
          <w:b/>
          <w:sz w:val="24"/>
          <w:szCs w:val="24"/>
        </w:rPr>
        <w:t>Անհրաժեշտությունը</w:t>
      </w:r>
      <w:proofErr w:type="spellEnd"/>
    </w:p>
    <w:p w14:paraId="6EF0A78A" w14:textId="50A28FB5" w:rsidR="00D96A8B" w:rsidRPr="0059480C" w:rsidRDefault="00D96A8B" w:rsidP="0059480C">
      <w:pPr>
        <w:spacing w:after="0" w:line="360" w:lineRule="auto"/>
        <w:jc w:val="both"/>
        <w:rPr>
          <w:rFonts w:ascii="GHEA Grapalat" w:eastAsia="Calibri" w:hAnsi="GHEA Grapalat" w:cs="Times New Roman"/>
          <w:sz w:val="24"/>
          <w:szCs w:val="24"/>
          <w:lang w:val="hy-AM"/>
        </w:rPr>
      </w:pPr>
      <w:r w:rsidRPr="0059480C">
        <w:rPr>
          <w:rFonts w:ascii="GHEA Grapalat" w:eastAsia="Calibri" w:hAnsi="GHEA Grapalat" w:cs="Times New Roman"/>
          <w:sz w:val="24"/>
          <w:szCs w:val="24"/>
          <w:lang w:val="hy-AM"/>
        </w:rPr>
        <w:t>Օ</w:t>
      </w:r>
      <w:proofErr w:type="spellStart"/>
      <w:r w:rsidRPr="0059480C">
        <w:rPr>
          <w:rFonts w:ascii="GHEA Grapalat" w:eastAsia="Calibri" w:hAnsi="GHEA Grapalat" w:cs="Times New Roman"/>
          <w:sz w:val="24"/>
          <w:szCs w:val="24"/>
        </w:rPr>
        <w:t>րենքների</w:t>
      </w:r>
      <w:proofErr w:type="spellEnd"/>
      <w:r w:rsidRPr="0059480C">
        <w:rPr>
          <w:rFonts w:ascii="GHEA Grapalat" w:eastAsia="Calibri" w:hAnsi="GHEA Grapalat" w:cs="Times New Roman"/>
          <w:sz w:val="24"/>
          <w:szCs w:val="24"/>
        </w:rPr>
        <w:t xml:space="preserve">  </w:t>
      </w:r>
      <w:r w:rsidRPr="0059480C">
        <w:rPr>
          <w:rFonts w:ascii="GHEA Grapalat" w:eastAsia="Calibri" w:hAnsi="GHEA Grapalat" w:cs="Times New Roman"/>
          <w:sz w:val="24"/>
          <w:szCs w:val="24"/>
          <w:lang w:val="hy-AM"/>
        </w:rPr>
        <w:t>նախագծերի</w:t>
      </w:r>
      <w:r w:rsidRPr="0059480C">
        <w:rPr>
          <w:rFonts w:ascii="GHEA Grapalat" w:eastAsia="Calibri" w:hAnsi="GHEA Grapalat" w:cs="Sylfaen"/>
        </w:rPr>
        <w:t xml:space="preserve"> </w:t>
      </w:r>
      <w:proofErr w:type="spellStart"/>
      <w:r w:rsidRPr="0059480C">
        <w:rPr>
          <w:rFonts w:ascii="GHEA Grapalat" w:eastAsia="Calibri" w:hAnsi="GHEA Grapalat" w:cs="Times New Roman"/>
          <w:sz w:val="24"/>
          <w:szCs w:val="24"/>
        </w:rPr>
        <w:t>մշակումը</w:t>
      </w:r>
      <w:proofErr w:type="spellEnd"/>
      <w:r w:rsidRPr="0059480C">
        <w:rPr>
          <w:rFonts w:ascii="GHEA Grapalat" w:eastAsia="Calibri" w:hAnsi="GHEA Grapalat" w:cs="Times New Roman"/>
          <w:sz w:val="24"/>
          <w:szCs w:val="24"/>
        </w:rPr>
        <w:t xml:space="preserve"> </w:t>
      </w:r>
      <w:proofErr w:type="spellStart"/>
      <w:r w:rsidRPr="0059480C">
        <w:rPr>
          <w:rFonts w:ascii="GHEA Grapalat" w:eastAsia="Calibri" w:hAnsi="GHEA Grapalat" w:cs="Times New Roman"/>
          <w:sz w:val="24"/>
          <w:szCs w:val="24"/>
        </w:rPr>
        <w:t>պայմանավորված</w:t>
      </w:r>
      <w:proofErr w:type="spellEnd"/>
      <w:r w:rsidRPr="0059480C">
        <w:rPr>
          <w:rFonts w:ascii="GHEA Grapalat" w:eastAsia="Calibri" w:hAnsi="GHEA Grapalat" w:cs="Times New Roman"/>
          <w:sz w:val="24"/>
          <w:szCs w:val="24"/>
        </w:rPr>
        <w:t xml:space="preserve"> է </w:t>
      </w:r>
      <w:r w:rsidRPr="0059480C">
        <w:rPr>
          <w:rFonts w:ascii="GHEA Grapalat" w:eastAsia="Calibri" w:hAnsi="GHEA Grapalat" w:cs="Times New Roman"/>
          <w:sz w:val="24"/>
          <w:szCs w:val="24"/>
          <w:lang w:val="hy-AM"/>
        </w:rPr>
        <w:t>հանրապետությունում մանրածախ առևտրի ոլորտում առևտրային</w:t>
      </w:r>
      <w:r w:rsidRPr="0059480C">
        <w:rPr>
          <w:rFonts w:ascii="GHEA Grapalat" w:eastAsia="Calibri" w:hAnsi="GHEA Grapalat" w:cs="Times New Roman"/>
          <w:sz w:val="24"/>
          <w:szCs w:val="24"/>
        </w:rPr>
        <w:t xml:space="preserve"> </w:t>
      </w:r>
      <w:r w:rsidRPr="0059480C">
        <w:rPr>
          <w:rFonts w:ascii="GHEA Grapalat" w:eastAsia="Calibri" w:hAnsi="GHEA Grapalat" w:cs="Times New Roman"/>
          <w:sz w:val="24"/>
          <w:szCs w:val="24"/>
          <w:lang w:val="hy-AM"/>
        </w:rPr>
        <w:t>զեղչերի</w:t>
      </w:r>
      <w:r w:rsidRPr="0059480C">
        <w:rPr>
          <w:rFonts w:ascii="GHEA Grapalat" w:eastAsia="Calibri" w:hAnsi="GHEA Grapalat" w:cs="Times New Roman"/>
          <w:sz w:val="24"/>
          <w:szCs w:val="24"/>
        </w:rPr>
        <w:t xml:space="preserve"> </w:t>
      </w:r>
      <w:proofErr w:type="spellStart"/>
      <w:r w:rsidRPr="0059480C">
        <w:rPr>
          <w:rFonts w:ascii="GHEA Grapalat" w:eastAsia="Calibri" w:hAnsi="GHEA Grapalat" w:cs="Times New Roman"/>
          <w:sz w:val="24"/>
          <w:szCs w:val="24"/>
        </w:rPr>
        <w:t>համար</w:t>
      </w:r>
      <w:proofErr w:type="spellEnd"/>
      <w:r w:rsidRPr="0059480C">
        <w:rPr>
          <w:rFonts w:ascii="GHEA Grapalat" w:eastAsia="Calibri" w:hAnsi="GHEA Grapalat" w:cs="Times New Roman"/>
          <w:sz w:val="24"/>
          <w:szCs w:val="24"/>
        </w:rPr>
        <w:t xml:space="preserve"> </w:t>
      </w:r>
      <w:proofErr w:type="spellStart"/>
      <w:r w:rsidRPr="0059480C">
        <w:rPr>
          <w:rFonts w:ascii="GHEA Grapalat" w:eastAsia="Calibri" w:hAnsi="GHEA Grapalat" w:cs="Times New Roman"/>
          <w:sz w:val="24"/>
          <w:szCs w:val="24"/>
        </w:rPr>
        <w:t>իրավական</w:t>
      </w:r>
      <w:proofErr w:type="spellEnd"/>
      <w:r w:rsidRPr="0059480C">
        <w:rPr>
          <w:rFonts w:ascii="GHEA Grapalat" w:eastAsia="Calibri" w:hAnsi="GHEA Grapalat" w:cs="Times New Roman"/>
          <w:sz w:val="24"/>
          <w:szCs w:val="24"/>
        </w:rPr>
        <w:t xml:space="preserve"> </w:t>
      </w:r>
      <w:r w:rsidRPr="0059480C">
        <w:rPr>
          <w:rFonts w:ascii="GHEA Grapalat" w:eastAsia="Calibri" w:hAnsi="GHEA Grapalat" w:cs="Times New Roman"/>
          <w:sz w:val="24"/>
          <w:szCs w:val="24"/>
          <w:lang w:val="hy-AM"/>
        </w:rPr>
        <w:t>կարգավորման</w:t>
      </w:r>
      <w:r w:rsidRPr="0059480C">
        <w:rPr>
          <w:rFonts w:ascii="GHEA Grapalat" w:eastAsia="Calibri" w:hAnsi="GHEA Grapalat" w:cs="Times New Roman"/>
          <w:sz w:val="24"/>
          <w:szCs w:val="24"/>
        </w:rPr>
        <w:t xml:space="preserve"> </w:t>
      </w:r>
      <w:proofErr w:type="spellStart"/>
      <w:r w:rsidRPr="0059480C">
        <w:rPr>
          <w:rFonts w:ascii="GHEA Grapalat" w:eastAsia="Calibri" w:hAnsi="GHEA Grapalat" w:cs="Times New Roman"/>
          <w:sz w:val="24"/>
          <w:szCs w:val="24"/>
        </w:rPr>
        <w:t>անհրաժեշտությամբ</w:t>
      </w:r>
      <w:proofErr w:type="spellEnd"/>
      <w:r w:rsidRPr="0059480C">
        <w:rPr>
          <w:rFonts w:ascii="GHEA Grapalat" w:eastAsia="Calibri" w:hAnsi="GHEA Grapalat" w:cs="Times New Roman"/>
          <w:sz w:val="24"/>
          <w:szCs w:val="24"/>
        </w:rPr>
        <w:t>:</w:t>
      </w:r>
    </w:p>
    <w:p w14:paraId="21584063" w14:textId="77777777" w:rsidR="00D96A8B" w:rsidRPr="0059480C" w:rsidRDefault="00D96A8B" w:rsidP="0059480C">
      <w:pPr>
        <w:numPr>
          <w:ilvl w:val="0"/>
          <w:numId w:val="1"/>
        </w:numPr>
        <w:spacing w:after="0" w:line="360" w:lineRule="auto"/>
        <w:ind w:left="0" w:firstLine="0"/>
        <w:jc w:val="both"/>
        <w:rPr>
          <w:rFonts w:ascii="GHEA Grapalat" w:eastAsia="Calibri" w:hAnsi="GHEA Grapalat" w:cs="Times New Roman"/>
          <w:b/>
          <w:sz w:val="24"/>
          <w:szCs w:val="24"/>
        </w:rPr>
      </w:pPr>
      <w:proofErr w:type="spellStart"/>
      <w:r w:rsidRPr="0059480C">
        <w:rPr>
          <w:rFonts w:ascii="GHEA Grapalat" w:eastAsia="Calibri" w:hAnsi="GHEA Grapalat" w:cs="Times New Roman"/>
          <w:b/>
          <w:sz w:val="24"/>
          <w:szCs w:val="24"/>
        </w:rPr>
        <w:t>Ընթացիկ</w:t>
      </w:r>
      <w:proofErr w:type="spellEnd"/>
      <w:r w:rsidRPr="0059480C">
        <w:rPr>
          <w:rFonts w:ascii="GHEA Grapalat" w:eastAsia="Calibri" w:hAnsi="GHEA Grapalat" w:cs="Times New Roman"/>
          <w:b/>
          <w:sz w:val="24"/>
          <w:szCs w:val="24"/>
        </w:rPr>
        <w:t xml:space="preserve"> </w:t>
      </w:r>
      <w:proofErr w:type="spellStart"/>
      <w:r w:rsidRPr="0059480C">
        <w:rPr>
          <w:rFonts w:ascii="GHEA Grapalat" w:eastAsia="Calibri" w:hAnsi="GHEA Grapalat" w:cs="Times New Roman"/>
          <w:b/>
          <w:sz w:val="24"/>
          <w:szCs w:val="24"/>
        </w:rPr>
        <w:t>իրավիճակը</w:t>
      </w:r>
      <w:proofErr w:type="spellEnd"/>
      <w:r w:rsidRPr="0059480C">
        <w:rPr>
          <w:rFonts w:ascii="GHEA Grapalat" w:eastAsia="Calibri" w:hAnsi="GHEA Grapalat" w:cs="Times New Roman"/>
          <w:b/>
          <w:sz w:val="24"/>
          <w:szCs w:val="24"/>
        </w:rPr>
        <w:t xml:space="preserve"> և </w:t>
      </w:r>
      <w:proofErr w:type="spellStart"/>
      <w:r w:rsidRPr="0059480C">
        <w:rPr>
          <w:rFonts w:ascii="GHEA Grapalat" w:eastAsia="Calibri" w:hAnsi="GHEA Grapalat" w:cs="Times New Roman"/>
          <w:b/>
          <w:sz w:val="24"/>
          <w:szCs w:val="24"/>
        </w:rPr>
        <w:t>խնդիրները</w:t>
      </w:r>
      <w:proofErr w:type="spellEnd"/>
    </w:p>
    <w:p w14:paraId="51AAD521" w14:textId="527556CD" w:rsidR="00D96A8B" w:rsidRPr="0059480C" w:rsidRDefault="00D96A8B" w:rsidP="0059480C">
      <w:pPr>
        <w:spacing w:after="0" w:line="360" w:lineRule="auto"/>
        <w:jc w:val="both"/>
        <w:rPr>
          <w:rFonts w:ascii="GHEA Grapalat" w:eastAsia="Calibri" w:hAnsi="GHEA Grapalat" w:cs="Times New Roman"/>
          <w:sz w:val="24"/>
          <w:szCs w:val="24"/>
          <w:lang w:val="hy-AM"/>
        </w:rPr>
      </w:pPr>
      <w:proofErr w:type="spellStart"/>
      <w:r w:rsidRPr="0059480C">
        <w:rPr>
          <w:rFonts w:ascii="GHEA Grapalat" w:eastAsia="Calibri" w:hAnsi="GHEA Grapalat" w:cs="Times New Roman"/>
          <w:sz w:val="24"/>
          <w:szCs w:val="24"/>
        </w:rPr>
        <w:t>Հայաստանի</w:t>
      </w:r>
      <w:proofErr w:type="spellEnd"/>
      <w:r w:rsidRPr="0059480C">
        <w:rPr>
          <w:rFonts w:ascii="GHEA Grapalat" w:eastAsia="Calibri" w:hAnsi="GHEA Grapalat" w:cs="Times New Roman"/>
          <w:sz w:val="24"/>
          <w:szCs w:val="24"/>
        </w:rPr>
        <w:t xml:space="preserve"> </w:t>
      </w:r>
      <w:proofErr w:type="spellStart"/>
      <w:r w:rsidRPr="0059480C">
        <w:rPr>
          <w:rFonts w:ascii="GHEA Grapalat" w:eastAsia="Calibri" w:hAnsi="GHEA Grapalat" w:cs="Times New Roman"/>
          <w:sz w:val="24"/>
          <w:szCs w:val="24"/>
        </w:rPr>
        <w:t>Հանրապետության</w:t>
      </w:r>
      <w:proofErr w:type="spellEnd"/>
      <w:r w:rsidRPr="0059480C">
        <w:rPr>
          <w:rFonts w:ascii="GHEA Grapalat" w:eastAsia="Calibri" w:hAnsi="GHEA Grapalat" w:cs="Times New Roman"/>
          <w:sz w:val="24"/>
          <w:szCs w:val="24"/>
        </w:rPr>
        <w:t xml:space="preserve"> </w:t>
      </w:r>
      <w:proofErr w:type="spellStart"/>
      <w:r w:rsidRPr="0059480C">
        <w:rPr>
          <w:rFonts w:ascii="GHEA Grapalat" w:eastAsia="Calibri" w:hAnsi="GHEA Grapalat" w:cs="Times New Roman"/>
          <w:sz w:val="24"/>
          <w:szCs w:val="24"/>
        </w:rPr>
        <w:t>օրենքներում</w:t>
      </w:r>
      <w:proofErr w:type="spellEnd"/>
      <w:r w:rsidRPr="0059480C">
        <w:rPr>
          <w:rFonts w:ascii="GHEA Grapalat" w:eastAsia="Calibri" w:hAnsi="GHEA Grapalat" w:cs="Times New Roman"/>
          <w:sz w:val="24"/>
          <w:szCs w:val="24"/>
        </w:rPr>
        <w:t xml:space="preserve"> </w:t>
      </w:r>
      <w:proofErr w:type="spellStart"/>
      <w:r w:rsidRPr="0059480C">
        <w:rPr>
          <w:rFonts w:ascii="GHEA Grapalat" w:eastAsia="Calibri" w:hAnsi="GHEA Grapalat" w:cs="Times New Roman"/>
          <w:sz w:val="24"/>
          <w:szCs w:val="24"/>
        </w:rPr>
        <w:t>ներկայումս</w:t>
      </w:r>
      <w:proofErr w:type="spellEnd"/>
      <w:r w:rsidRPr="0059480C">
        <w:rPr>
          <w:rFonts w:ascii="GHEA Grapalat" w:eastAsia="Calibri" w:hAnsi="GHEA Grapalat" w:cs="Times New Roman"/>
          <w:sz w:val="24"/>
          <w:szCs w:val="24"/>
        </w:rPr>
        <w:t xml:space="preserve"> </w:t>
      </w:r>
      <w:r w:rsidRPr="0059480C">
        <w:rPr>
          <w:rFonts w:ascii="GHEA Grapalat" w:eastAsia="Calibri" w:hAnsi="GHEA Grapalat" w:cs="Times New Roman"/>
          <w:sz w:val="24"/>
          <w:szCs w:val="24"/>
          <w:lang w:val="hy-AM"/>
        </w:rPr>
        <w:t xml:space="preserve">բացակայում </w:t>
      </w:r>
      <w:r w:rsidR="0059480C">
        <w:rPr>
          <w:rFonts w:ascii="GHEA Grapalat" w:eastAsia="Calibri" w:hAnsi="GHEA Grapalat" w:cs="Times New Roman"/>
          <w:sz w:val="24"/>
          <w:szCs w:val="24"/>
          <w:lang w:val="hy-AM"/>
        </w:rPr>
        <w:t>են</w:t>
      </w:r>
      <w:r w:rsidRPr="0059480C">
        <w:rPr>
          <w:rFonts w:ascii="GHEA Grapalat" w:eastAsia="Calibri" w:hAnsi="GHEA Grapalat" w:cs="Times New Roman"/>
          <w:sz w:val="24"/>
          <w:szCs w:val="24"/>
        </w:rPr>
        <w:t xml:space="preserve"> </w:t>
      </w:r>
      <w:r w:rsidRPr="0059480C">
        <w:rPr>
          <w:rFonts w:ascii="GHEA Grapalat" w:eastAsia="Calibri" w:hAnsi="GHEA Grapalat" w:cs="Sylfaen"/>
          <w:sz w:val="24"/>
          <w:szCs w:val="24"/>
          <w:lang w:val="hy-AM"/>
        </w:rPr>
        <w:t>առ</w:t>
      </w:r>
      <w:r w:rsidRPr="0059480C">
        <w:rPr>
          <w:rFonts w:ascii="GHEA Grapalat" w:eastAsia="Calibri" w:hAnsi="GHEA Grapalat" w:cs="Times New Roman"/>
          <w:sz w:val="24"/>
          <w:szCs w:val="24"/>
        </w:rPr>
        <w:t>և</w:t>
      </w:r>
      <w:r w:rsidRPr="0059480C">
        <w:rPr>
          <w:rFonts w:ascii="GHEA Grapalat" w:eastAsia="Calibri" w:hAnsi="GHEA Grapalat" w:cs="Sylfaen"/>
          <w:sz w:val="24"/>
          <w:szCs w:val="24"/>
          <w:lang w:val="hy-AM"/>
        </w:rPr>
        <w:t>տրային</w:t>
      </w:r>
      <w:r w:rsidRPr="0059480C">
        <w:rPr>
          <w:rFonts w:ascii="GHEA Grapalat" w:eastAsia="Calibri" w:hAnsi="GHEA Grapalat" w:cs="Times New Roman"/>
          <w:sz w:val="24"/>
          <w:szCs w:val="24"/>
          <w:lang w:val="hy-AM"/>
        </w:rPr>
        <w:t xml:space="preserve"> զեղչերի վերաբերյալ </w:t>
      </w:r>
      <w:proofErr w:type="spellStart"/>
      <w:r w:rsidRPr="0059480C">
        <w:rPr>
          <w:rFonts w:ascii="GHEA Grapalat" w:eastAsia="Calibri" w:hAnsi="GHEA Grapalat" w:cs="Times New Roman"/>
          <w:sz w:val="24"/>
          <w:szCs w:val="24"/>
        </w:rPr>
        <w:t>դրույթները</w:t>
      </w:r>
      <w:proofErr w:type="spellEnd"/>
      <w:r w:rsidRPr="0059480C">
        <w:rPr>
          <w:rFonts w:ascii="GHEA Grapalat" w:eastAsia="Calibri" w:hAnsi="GHEA Grapalat" w:cs="Times New Roman"/>
          <w:sz w:val="24"/>
          <w:szCs w:val="24"/>
        </w:rPr>
        <w:t xml:space="preserve">, </w:t>
      </w:r>
      <w:proofErr w:type="spellStart"/>
      <w:r w:rsidRPr="0059480C">
        <w:rPr>
          <w:rFonts w:ascii="GHEA Grapalat" w:eastAsia="Calibri" w:hAnsi="GHEA Grapalat" w:cs="Times New Roman"/>
          <w:sz w:val="24"/>
          <w:szCs w:val="24"/>
        </w:rPr>
        <w:t>ինչպես</w:t>
      </w:r>
      <w:proofErr w:type="spellEnd"/>
      <w:r w:rsidRPr="0059480C">
        <w:rPr>
          <w:rFonts w:ascii="GHEA Grapalat" w:eastAsia="Calibri" w:hAnsi="GHEA Grapalat" w:cs="Times New Roman"/>
          <w:sz w:val="24"/>
          <w:szCs w:val="24"/>
        </w:rPr>
        <w:t xml:space="preserve"> </w:t>
      </w:r>
      <w:proofErr w:type="spellStart"/>
      <w:r w:rsidRPr="0059480C">
        <w:rPr>
          <w:rFonts w:ascii="GHEA Grapalat" w:eastAsia="Calibri" w:hAnsi="GHEA Grapalat" w:cs="Times New Roman"/>
          <w:sz w:val="24"/>
          <w:szCs w:val="24"/>
        </w:rPr>
        <w:t>նաև</w:t>
      </w:r>
      <w:proofErr w:type="spellEnd"/>
      <w:r w:rsidRPr="0059480C">
        <w:rPr>
          <w:rFonts w:ascii="GHEA Grapalat" w:eastAsia="Calibri" w:hAnsi="GHEA Grapalat" w:cs="Times New Roman"/>
          <w:sz w:val="24"/>
          <w:szCs w:val="24"/>
        </w:rPr>
        <w:t xml:space="preserve"> </w:t>
      </w:r>
      <w:proofErr w:type="spellStart"/>
      <w:r w:rsidRPr="0059480C">
        <w:rPr>
          <w:rFonts w:ascii="GHEA Grapalat" w:eastAsia="Calibri" w:hAnsi="GHEA Grapalat" w:cs="Times New Roman"/>
          <w:sz w:val="24"/>
          <w:szCs w:val="24"/>
        </w:rPr>
        <w:t>բացակայում</w:t>
      </w:r>
      <w:proofErr w:type="spellEnd"/>
      <w:r w:rsidRPr="0059480C">
        <w:rPr>
          <w:rFonts w:ascii="GHEA Grapalat" w:eastAsia="Calibri" w:hAnsi="GHEA Grapalat" w:cs="Times New Roman"/>
          <w:sz w:val="24"/>
          <w:szCs w:val="24"/>
        </w:rPr>
        <w:t xml:space="preserve"> </w:t>
      </w:r>
      <w:proofErr w:type="spellStart"/>
      <w:proofErr w:type="gramStart"/>
      <w:r w:rsidRPr="0059480C">
        <w:rPr>
          <w:rFonts w:ascii="GHEA Grapalat" w:eastAsia="Calibri" w:hAnsi="GHEA Grapalat" w:cs="Times New Roman"/>
          <w:sz w:val="24"/>
          <w:szCs w:val="24"/>
        </w:rPr>
        <w:t>են</w:t>
      </w:r>
      <w:proofErr w:type="spellEnd"/>
      <w:r w:rsidRPr="0059480C">
        <w:rPr>
          <w:rFonts w:ascii="GHEA Grapalat" w:eastAsia="Calibri" w:hAnsi="GHEA Grapalat" w:cs="Times New Roman"/>
          <w:sz w:val="24"/>
          <w:szCs w:val="24"/>
        </w:rPr>
        <w:t xml:space="preserve"> </w:t>
      </w:r>
      <w:r w:rsidRPr="0059480C">
        <w:rPr>
          <w:rFonts w:ascii="GHEA Grapalat" w:eastAsia="Calibri" w:hAnsi="GHEA Grapalat" w:cs="Times New Roman"/>
          <w:sz w:val="24"/>
          <w:szCs w:val="24"/>
          <w:lang w:val="hy-AM"/>
        </w:rPr>
        <w:t xml:space="preserve"> դրանց</w:t>
      </w:r>
      <w:proofErr w:type="gramEnd"/>
      <w:r w:rsidRPr="0059480C">
        <w:rPr>
          <w:rFonts w:ascii="GHEA Grapalat" w:eastAsia="Calibri" w:hAnsi="GHEA Grapalat" w:cs="Times New Roman"/>
          <w:sz w:val="24"/>
          <w:szCs w:val="24"/>
          <w:lang w:val="hy-AM"/>
        </w:rPr>
        <w:t xml:space="preserve"> վերաբերյալ</w:t>
      </w:r>
      <w:r w:rsidRPr="0059480C">
        <w:rPr>
          <w:rFonts w:ascii="GHEA Grapalat" w:eastAsia="Calibri" w:hAnsi="GHEA Grapalat" w:cs="Times New Roman"/>
          <w:sz w:val="24"/>
          <w:szCs w:val="24"/>
        </w:rPr>
        <w:t xml:space="preserve"> </w:t>
      </w:r>
      <w:proofErr w:type="spellStart"/>
      <w:r w:rsidRPr="0059480C">
        <w:rPr>
          <w:rFonts w:ascii="GHEA Grapalat" w:eastAsia="Calibri" w:hAnsi="GHEA Grapalat" w:cs="Times New Roman"/>
          <w:sz w:val="24"/>
          <w:szCs w:val="24"/>
        </w:rPr>
        <w:t>հասկացությունների</w:t>
      </w:r>
      <w:proofErr w:type="spellEnd"/>
      <w:r w:rsidRPr="0059480C">
        <w:rPr>
          <w:rFonts w:ascii="GHEA Grapalat" w:eastAsia="Calibri" w:hAnsi="GHEA Grapalat" w:cs="Times New Roman"/>
          <w:sz w:val="24"/>
          <w:szCs w:val="24"/>
        </w:rPr>
        <w:t xml:space="preserve"> </w:t>
      </w:r>
      <w:proofErr w:type="spellStart"/>
      <w:r w:rsidRPr="0059480C">
        <w:rPr>
          <w:rFonts w:ascii="GHEA Grapalat" w:eastAsia="Calibri" w:hAnsi="GHEA Grapalat" w:cs="Times New Roman"/>
          <w:sz w:val="24"/>
          <w:szCs w:val="24"/>
        </w:rPr>
        <w:t>սահմանումները</w:t>
      </w:r>
      <w:proofErr w:type="spellEnd"/>
      <w:r w:rsidRPr="0059480C">
        <w:rPr>
          <w:rFonts w:ascii="GHEA Grapalat" w:eastAsia="Calibri" w:hAnsi="GHEA Grapalat" w:cs="Times New Roman"/>
          <w:sz w:val="24"/>
          <w:szCs w:val="24"/>
        </w:rPr>
        <w:t xml:space="preserve"> և </w:t>
      </w:r>
      <w:proofErr w:type="spellStart"/>
      <w:r w:rsidRPr="0059480C">
        <w:rPr>
          <w:rFonts w:ascii="GHEA Grapalat" w:eastAsia="Calibri" w:hAnsi="GHEA Grapalat" w:cs="Times New Roman"/>
          <w:sz w:val="24"/>
          <w:szCs w:val="24"/>
        </w:rPr>
        <w:t>դրանց</w:t>
      </w:r>
      <w:proofErr w:type="spellEnd"/>
      <w:r w:rsidRPr="0059480C">
        <w:rPr>
          <w:rFonts w:ascii="GHEA Grapalat" w:eastAsia="Calibri" w:hAnsi="GHEA Grapalat" w:cs="Times New Roman"/>
          <w:sz w:val="24"/>
          <w:szCs w:val="24"/>
        </w:rPr>
        <w:t xml:space="preserve"> </w:t>
      </w:r>
      <w:proofErr w:type="spellStart"/>
      <w:r w:rsidRPr="0059480C">
        <w:rPr>
          <w:rFonts w:ascii="GHEA Grapalat" w:eastAsia="Calibri" w:hAnsi="GHEA Grapalat" w:cs="Times New Roman"/>
          <w:sz w:val="24"/>
          <w:szCs w:val="24"/>
        </w:rPr>
        <w:t>առանձնահատկություններին</w:t>
      </w:r>
      <w:proofErr w:type="spellEnd"/>
      <w:r w:rsidRPr="0059480C">
        <w:rPr>
          <w:rFonts w:ascii="GHEA Grapalat" w:eastAsia="Calibri" w:hAnsi="GHEA Grapalat" w:cs="Times New Roman"/>
          <w:sz w:val="24"/>
          <w:szCs w:val="24"/>
        </w:rPr>
        <w:t xml:space="preserve"> </w:t>
      </w:r>
      <w:proofErr w:type="spellStart"/>
      <w:r w:rsidRPr="0059480C">
        <w:rPr>
          <w:rFonts w:ascii="GHEA Grapalat" w:eastAsia="Calibri" w:hAnsi="GHEA Grapalat" w:cs="Times New Roman"/>
          <w:sz w:val="24"/>
          <w:szCs w:val="24"/>
        </w:rPr>
        <w:t>առնչվող</w:t>
      </w:r>
      <w:proofErr w:type="spellEnd"/>
      <w:r w:rsidRPr="0059480C">
        <w:rPr>
          <w:rFonts w:ascii="GHEA Grapalat" w:eastAsia="Calibri" w:hAnsi="GHEA Grapalat" w:cs="Times New Roman"/>
          <w:sz w:val="24"/>
          <w:szCs w:val="24"/>
        </w:rPr>
        <w:t xml:space="preserve"> </w:t>
      </w:r>
      <w:proofErr w:type="spellStart"/>
      <w:r w:rsidRPr="0059480C">
        <w:rPr>
          <w:rFonts w:ascii="GHEA Grapalat" w:eastAsia="Calibri" w:hAnsi="GHEA Grapalat" w:cs="Times New Roman"/>
          <w:sz w:val="24"/>
          <w:szCs w:val="24"/>
        </w:rPr>
        <w:t>դրույթները</w:t>
      </w:r>
      <w:proofErr w:type="spellEnd"/>
      <w:r w:rsidRPr="0059480C">
        <w:rPr>
          <w:rFonts w:ascii="GHEA Grapalat" w:eastAsia="Calibri" w:hAnsi="GHEA Grapalat" w:cs="Times New Roman"/>
          <w:sz w:val="24"/>
          <w:szCs w:val="24"/>
        </w:rPr>
        <w:t xml:space="preserve">, </w:t>
      </w:r>
      <w:proofErr w:type="spellStart"/>
      <w:r w:rsidRPr="0059480C">
        <w:rPr>
          <w:rFonts w:ascii="GHEA Grapalat" w:eastAsia="Calibri" w:hAnsi="GHEA Grapalat" w:cs="Times New Roman"/>
          <w:sz w:val="24"/>
          <w:szCs w:val="24"/>
        </w:rPr>
        <w:t>ինչը</w:t>
      </w:r>
      <w:proofErr w:type="spellEnd"/>
      <w:r w:rsidRPr="0059480C">
        <w:rPr>
          <w:rFonts w:ascii="GHEA Grapalat" w:eastAsia="Calibri" w:hAnsi="GHEA Grapalat" w:cs="Times New Roman"/>
          <w:sz w:val="24"/>
          <w:szCs w:val="24"/>
        </w:rPr>
        <w:t xml:space="preserve"> </w:t>
      </w:r>
      <w:proofErr w:type="spellStart"/>
      <w:r w:rsidRPr="0059480C">
        <w:rPr>
          <w:rFonts w:ascii="GHEA Grapalat" w:eastAsia="Calibri" w:hAnsi="GHEA Grapalat" w:cs="Times New Roman"/>
          <w:sz w:val="24"/>
          <w:szCs w:val="24"/>
        </w:rPr>
        <w:t>խոչընդոտ</w:t>
      </w:r>
      <w:proofErr w:type="spellEnd"/>
      <w:r w:rsidRPr="0059480C">
        <w:rPr>
          <w:rFonts w:ascii="GHEA Grapalat" w:eastAsia="Calibri" w:hAnsi="GHEA Grapalat" w:cs="Times New Roman"/>
          <w:sz w:val="24"/>
          <w:szCs w:val="24"/>
        </w:rPr>
        <w:t xml:space="preserve"> է </w:t>
      </w:r>
      <w:proofErr w:type="spellStart"/>
      <w:r w:rsidRPr="0059480C">
        <w:rPr>
          <w:rFonts w:ascii="GHEA Grapalat" w:eastAsia="Calibri" w:hAnsi="GHEA Grapalat" w:cs="Times New Roman"/>
          <w:sz w:val="24"/>
          <w:szCs w:val="24"/>
        </w:rPr>
        <w:t>հանդիսանում</w:t>
      </w:r>
      <w:proofErr w:type="spellEnd"/>
      <w:r w:rsidRPr="0059480C">
        <w:rPr>
          <w:rFonts w:ascii="GHEA Grapalat" w:eastAsia="Calibri" w:hAnsi="GHEA Grapalat" w:cs="Times New Roman"/>
          <w:sz w:val="24"/>
          <w:szCs w:val="24"/>
        </w:rPr>
        <w:t xml:space="preserve"> ՀՀ-</w:t>
      </w:r>
      <w:proofErr w:type="spellStart"/>
      <w:r w:rsidRPr="0059480C">
        <w:rPr>
          <w:rFonts w:ascii="GHEA Grapalat" w:eastAsia="Calibri" w:hAnsi="GHEA Grapalat" w:cs="Times New Roman"/>
          <w:sz w:val="24"/>
          <w:szCs w:val="24"/>
        </w:rPr>
        <w:t>ում</w:t>
      </w:r>
      <w:proofErr w:type="spellEnd"/>
      <w:r w:rsidRPr="0059480C">
        <w:rPr>
          <w:rFonts w:ascii="GHEA Grapalat" w:eastAsia="Calibri" w:hAnsi="GHEA Grapalat" w:cs="Times New Roman"/>
          <w:sz w:val="24"/>
          <w:szCs w:val="24"/>
        </w:rPr>
        <w:t xml:space="preserve"> </w:t>
      </w:r>
      <w:r w:rsidRPr="0059480C">
        <w:rPr>
          <w:rFonts w:ascii="GHEA Grapalat" w:eastAsia="Calibri" w:hAnsi="GHEA Grapalat" w:cs="Times New Roman"/>
          <w:sz w:val="24"/>
          <w:szCs w:val="24"/>
          <w:lang w:val="hy-AM"/>
        </w:rPr>
        <w:t>մանրածախ առևտրում զեղչային համակարգի</w:t>
      </w:r>
      <w:r w:rsidRPr="0059480C">
        <w:rPr>
          <w:rFonts w:ascii="GHEA Grapalat" w:eastAsia="Calibri" w:hAnsi="GHEA Grapalat" w:cs="Times New Roman"/>
          <w:sz w:val="24"/>
          <w:szCs w:val="24"/>
        </w:rPr>
        <w:t xml:space="preserve"> </w:t>
      </w:r>
      <w:proofErr w:type="spellStart"/>
      <w:r w:rsidRPr="0059480C">
        <w:rPr>
          <w:rFonts w:ascii="GHEA Grapalat" w:eastAsia="Calibri" w:hAnsi="GHEA Grapalat" w:cs="Times New Roman"/>
          <w:sz w:val="24"/>
          <w:szCs w:val="24"/>
        </w:rPr>
        <w:t>զարգացման</w:t>
      </w:r>
      <w:proofErr w:type="spellEnd"/>
      <w:r w:rsidRPr="0059480C">
        <w:rPr>
          <w:rFonts w:ascii="GHEA Grapalat" w:eastAsia="Calibri" w:hAnsi="GHEA Grapalat" w:cs="Times New Roman"/>
          <w:sz w:val="24"/>
          <w:szCs w:val="24"/>
        </w:rPr>
        <w:t xml:space="preserve"> </w:t>
      </w:r>
      <w:proofErr w:type="spellStart"/>
      <w:r w:rsidRPr="0059480C">
        <w:rPr>
          <w:rFonts w:ascii="GHEA Grapalat" w:eastAsia="Calibri" w:hAnsi="GHEA Grapalat" w:cs="Times New Roman"/>
          <w:sz w:val="24"/>
          <w:szCs w:val="24"/>
        </w:rPr>
        <w:t>համար</w:t>
      </w:r>
      <w:proofErr w:type="spellEnd"/>
      <w:r w:rsidRPr="0059480C">
        <w:rPr>
          <w:rFonts w:ascii="GHEA Grapalat" w:eastAsia="Calibri" w:hAnsi="GHEA Grapalat" w:cs="Times New Roman"/>
          <w:sz w:val="24"/>
          <w:szCs w:val="24"/>
        </w:rPr>
        <w:t>:</w:t>
      </w:r>
    </w:p>
    <w:p w14:paraId="4C687E8C" w14:textId="636B0F8B" w:rsidR="002A7DE2" w:rsidRPr="0059480C" w:rsidRDefault="00D96A8B" w:rsidP="0059480C">
      <w:pPr>
        <w:spacing w:after="0" w:line="360" w:lineRule="auto"/>
        <w:jc w:val="both"/>
        <w:rPr>
          <w:rFonts w:ascii="GHEA Grapalat" w:eastAsia="Calibri" w:hAnsi="GHEA Grapalat" w:cs="Times New Roman"/>
          <w:sz w:val="24"/>
          <w:szCs w:val="24"/>
          <w:lang w:val="hy-AM"/>
        </w:rPr>
      </w:pPr>
      <w:r w:rsidRPr="0059480C">
        <w:rPr>
          <w:rFonts w:ascii="GHEA Grapalat" w:eastAsia="Calibri" w:hAnsi="GHEA Grapalat" w:cs="Times New Roman"/>
          <w:sz w:val="24"/>
          <w:szCs w:val="24"/>
          <w:lang w:val="hy-AM"/>
        </w:rPr>
        <w:t xml:space="preserve">Օրենքի նախագծի մշակման նպատակով իրականացվել է առևտրային զեղչերի կիրառման միջազգային փորձի ուսումնասիրությունը մասնավորապես՝ Եվրոպական </w:t>
      </w:r>
      <w:r w:rsidRPr="0059480C">
        <w:rPr>
          <w:rFonts w:ascii="GHEA Grapalat" w:eastAsia="Calibri" w:hAnsi="GHEA Grapalat" w:cs="Times New Roman"/>
          <w:sz w:val="24"/>
          <w:szCs w:val="24"/>
          <w:lang w:val="hy-AM"/>
        </w:rPr>
        <w:lastRenderedPageBreak/>
        <w:t>Խորհրդի 2019 թվականի նոյեմբերի 27-ի սպառողների պաշտպանության վերաբերյալ  933/13 EEC</w:t>
      </w:r>
      <w:r w:rsidR="006D5F09" w:rsidRPr="0059480C">
        <w:rPr>
          <w:rStyle w:val="FootnoteReference"/>
          <w:rFonts w:ascii="GHEA Grapalat" w:eastAsia="Calibri" w:hAnsi="GHEA Grapalat" w:cs="Times New Roman"/>
          <w:sz w:val="24"/>
          <w:szCs w:val="24"/>
          <w:lang w:val="hy-AM"/>
        </w:rPr>
        <w:footnoteReference w:id="1"/>
      </w:r>
      <w:r w:rsidRPr="0059480C">
        <w:rPr>
          <w:rFonts w:ascii="GHEA Grapalat" w:eastAsia="Calibri" w:hAnsi="GHEA Grapalat" w:cs="Times New Roman"/>
          <w:sz w:val="24"/>
          <w:szCs w:val="24"/>
          <w:lang w:val="hy-AM"/>
        </w:rPr>
        <w:t xml:space="preserve"> հրահանգը</w:t>
      </w:r>
      <w:r w:rsidR="002A7DE2" w:rsidRPr="0059480C">
        <w:rPr>
          <w:rFonts w:ascii="GHEA Grapalat" w:eastAsia="Calibri" w:hAnsi="GHEA Grapalat" w:cs="Times New Roman"/>
          <w:sz w:val="24"/>
          <w:szCs w:val="24"/>
          <w:lang w:val="hy-AM"/>
        </w:rPr>
        <w:t>, 98/6/EC</w:t>
      </w:r>
      <w:r w:rsidR="006D5F09" w:rsidRPr="0059480C">
        <w:rPr>
          <w:rStyle w:val="FootnoteReference"/>
          <w:rFonts w:ascii="GHEA Grapalat" w:eastAsia="Calibri" w:hAnsi="GHEA Grapalat" w:cs="Times New Roman"/>
          <w:sz w:val="24"/>
          <w:szCs w:val="24"/>
          <w:lang w:val="hy-AM"/>
        </w:rPr>
        <w:footnoteReference w:id="2"/>
      </w:r>
      <w:r w:rsidR="006D5F09" w:rsidRPr="0059480C">
        <w:rPr>
          <w:rFonts w:ascii="GHEA Grapalat" w:eastAsia="Calibri" w:hAnsi="GHEA Grapalat" w:cs="Times New Roman"/>
          <w:sz w:val="24"/>
          <w:szCs w:val="24"/>
          <w:lang w:val="hy-AM"/>
        </w:rPr>
        <w:t xml:space="preserve">; </w:t>
      </w:r>
      <w:r w:rsidR="002A7DE2" w:rsidRPr="0059480C">
        <w:rPr>
          <w:rFonts w:ascii="GHEA Grapalat" w:eastAsia="Calibri" w:hAnsi="GHEA Grapalat" w:cs="Times New Roman"/>
          <w:sz w:val="24"/>
          <w:szCs w:val="24"/>
          <w:lang w:val="hy-AM"/>
        </w:rPr>
        <w:t xml:space="preserve"> 2005/29/EC</w:t>
      </w:r>
      <w:r w:rsidR="006D5F09" w:rsidRPr="0059480C">
        <w:rPr>
          <w:rStyle w:val="FootnoteReference"/>
          <w:rFonts w:ascii="GHEA Grapalat" w:eastAsia="Calibri" w:hAnsi="GHEA Grapalat" w:cs="Times New Roman"/>
          <w:sz w:val="24"/>
          <w:szCs w:val="24"/>
          <w:lang w:val="hy-AM"/>
        </w:rPr>
        <w:footnoteReference w:id="3"/>
      </w:r>
      <w:r w:rsidR="006D5F09" w:rsidRPr="0059480C">
        <w:rPr>
          <w:rFonts w:ascii="GHEA Grapalat" w:eastAsia="Calibri" w:hAnsi="GHEA Grapalat" w:cs="Times New Roman"/>
          <w:sz w:val="24"/>
          <w:szCs w:val="24"/>
          <w:lang w:val="hy-AM"/>
        </w:rPr>
        <w:t xml:space="preserve">; </w:t>
      </w:r>
      <w:r w:rsidR="002A7DE2" w:rsidRPr="0059480C">
        <w:rPr>
          <w:rFonts w:ascii="GHEA Grapalat" w:eastAsia="Calibri" w:hAnsi="GHEA Grapalat" w:cs="Times New Roman"/>
          <w:sz w:val="24"/>
          <w:szCs w:val="24"/>
          <w:lang w:val="hy-AM"/>
        </w:rPr>
        <w:t xml:space="preserve"> 2019/2161</w:t>
      </w:r>
      <w:r w:rsidR="006D5F09" w:rsidRPr="0059480C">
        <w:rPr>
          <w:rStyle w:val="FootnoteReference"/>
          <w:rFonts w:ascii="GHEA Grapalat" w:eastAsia="Calibri" w:hAnsi="GHEA Grapalat" w:cs="Times New Roman"/>
          <w:sz w:val="24"/>
          <w:szCs w:val="24"/>
          <w:lang w:val="hy-AM"/>
        </w:rPr>
        <w:footnoteReference w:id="4"/>
      </w:r>
      <w:r w:rsidR="002A7DE2" w:rsidRPr="0059480C">
        <w:rPr>
          <w:rFonts w:ascii="GHEA Grapalat" w:eastAsia="Calibri" w:hAnsi="GHEA Grapalat" w:cs="Times New Roman"/>
          <w:sz w:val="24"/>
          <w:szCs w:val="24"/>
          <w:lang w:val="hy-AM"/>
        </w:rPr>
        <w:t xml:space="preserve"> հրահանգները, որոնք սահմանում են, որ՝ </w:t>
      </w:r>
      <w:r w:rsidR="0059480C">
        <w:rPr>
          <w:rFonts w:ascii="GHEA Grapalat" w:eastAsia="Calibri" w:hAnsi="GHEA Grapalat" w:cs="Times New Roman"/>
          <w:sz w:val="24"/>
          <w:szCs w:val="24"/>
          <w:lang w:val="hy-AM"/>
        </w:rPr>
        <w:t>«</w:t>
      </w:r>
      <w:r w:rsidR="00936230" w:rsidRPr="0059480C">
        <w:rPr>
          <w:rFonts w:ascii="GHEA Grapalat" w:eastAsia="Calibri" w:hAnsi="GHEA Grapalat" w:cs="Times New Roman"/>
          <w:sz w:val="24"/>
          <w:szCs w:val="24"/>
          <w:lang w:val="hy-AM"/>
        </w:rPr>
        <w:t>Զ</w:t>
      </w:r>
      <w:r w:rsidR="002A7DE2" w:rsidRPr="0059480C">
        <w:rPr>
          <w:rFonts w:ascii="GHEA Grapalat" w:eastAsia="Calibri" w:hAnsi="GHEA Grapalat" w:cs="Times New Roman"/>
          <w:sz w:val="24"/>
          <w:szCs w:val="24"/>
          <w:lang w:val="hy-AM"/>
        </w:rPr>
        <w:t xml:space="preserve">եղչված ապրանքի գնապիտակը պետք է պարունակի </w:t>
      </w:r>
      <w:r w:rsidR="0059480C">
        <w:rPr>
          <w:rFonts w:ascii="GHEA Grapalat" w:eastAsia="Calibri" w:hAnsi="GHEA Grapalat" w:cs="Times New Roman"/>
          <w:sz w:val="24"/>
          <w:szCs w:val="24"/>
          <w:lang w:val="hy-AM"/>
        </w:rPr>
        <w:t>մինչև</w:t>
      </w:r>
      <w:r w:rsidR="002A7DE2" w:rsidRPr="0059480C">
        <w:rPr>
          <w:rFonts w:ascii="GHEA Grapalat" w:eastAsia="Calibri" w:hAnsi="GHEA Grapalat" w:cs="Times New Roman"/>
          <w:sz w:val="24"/>
          <w:szCs w:val="24"/>
          <w:lang w:val="hy-AM"/>
        </w:rPr>
        <w:t xml:space="preserve"> զեղչվելը ապրանքի միավոր գինը</w:t>
      </w:r>
      <w:r w:rsidR="0059480C">
        <w:rPr>
          <w:rFonts w:ascii="GHEA Grapalat" w:eastAsia="Calibri" w:hAnsi="GHEA Grapalat" w:cs="Times New Roman"/>
          <w:sz w:val="24"/>
          <w:szCs w:val="24"/>
          <w:lang w:val="hy-AM"/>
        </w:rPr>
        <w:t xml:space="preserve">»։ </w:t>
      </w:r>
      <w:r w:rsidR="002A7DE2" w:rsidRPr="0059480C">
        <w:rPr>
          <w:rFonts w:ascii="GHEA Grapalat" w:eastAsia="Calibri" w:hAnsi="GHEA Grapalat" w:cs="Times New Roman"/>
          <w:sz w:val="24"/>
          <w:szCs w:val="24"/>
          <w:lang w:val="hy-AM"/>
        </w:rPr>
        <w:t>Ընդ որում</w:t>
      </w:r>
      <w:r w:rsidR="0059480C">
        <w:rPr>
          <w:rFonts w:ascii="GHEA Grapalat" w:eastAsia="Calibri" w:hAnsi="GHEA Grapalat" w:cs="Times New Roman"/>
          <w:sz w:val="24"/>
          <w:szCs w:val="24"/>
          <w:lang w:val="hy-AM"/>
        </w:rPr>
        <w:t>,</w:t>
      </w:r>
      <w:r w:rsidR="002A7DE2" w:rsidRPr="0059480C">
        <w:rPr>
          <w:rFonts w:ascii="GHEA Grapalat" w:eastAsia="Calibri" w:hAnsi="GHEA Grapalat" w:cs="Times New Roman"/>
          <w:sz w:val="24"/>
          <w:szCs w:val="24"/>
          <w:lang w:val="hy-AM"/>
        </w:rPr>
        <w:t xml:space="preserve"> նախորդ գինը ամենացածր գինն է, որը կիրառվում է վաճառողի կողմից գնի իջեցմանը նախորդող ոչ պակաս քան 30 օրվա ընթացքում։</w:t>
      </w:r>
    </w:p>
    <w:p w14:paraId="6F255C2C" w14:textId="538AECBB" w:rsidR="00936230" w:rsidRPr="0059480C" w:rsidRDefault="00936230" w:rsidP="0059480C">
      <w:pPr>
        <w:spacing w:after="0" w:line="360" w:lineRule="auto"/>
        <w:jc w:val="both"/>
        <w:rPr>
          <w:rFonts w:ascii="GHEA Grapalat" w:eastAsia="Calibri" w:hAnsi="GHEA Grapalat" w:cs="Times New Roman"/>
          <w:sz w:val="24"/>
          <w:szCs w:val="24"/>
          <w:lang w:val="hy-AM"/>
        </w:rPr>
      </w:pPr>
      <w:r w:rsidRPr="0059480C">
        <w:rPr>
          <w:rFonts w:ascii="GHEA Grapalat" w:eastAsia="Calibri" w:hAnsi="GHEA Grapalat" w:cs="Times New Roman"/>
          <w:sz w:val="24"/>
          <w:szCs w:val="24"/>
          <w:lang w:val="hy-AM"/>
        </w:rPr>
        <w:t>Եթե ապրանքը շուկայում գտնվում է 30 օրից պակաս ժամանակահատվածում, ապա կարող է նախատեսվել ավելի կարճ ժամանակահատված։</w:t>
      </w:r>
    </w:p>
    <w:p w14:paraId="7320D3CA" w14:textId="1A08EC0E" w:rsidR="00936230" w:rsidRPr="0059480C" w:rsidRDefault="00936230" w:rsidP="0059480C">
      <w:pPr>
        <w:spacing w:after="0" w:line="360" w:lineRule="auto"/>
        <w:jc w:val="both"/>
        <w:rPr>
          <w:rFonts w:ascii="GHEA Grapalat" w:eastAsia="Calibri" w:hAnsi="GHEA Grapalat" w:cs="Times New Roman"/>
          <w:sz w:val="24"/>
          <w:szCs w:val="24"/>
          <w:lang w:val="hy-AM"/>
        </w:rPr>
      </w:pPr>
      <w:r w:rsidRPr="0059480C">
        <w:rPr>
          <w:rFonts w:ascii="GHEA Grapalat" w:eastAsia="Calibri" w:hAnsi="GHEA Grapalat" w:cs="Times New Roman"/>
          <w:sz w:val="24"/>
          <w:szCs w:val="24"/>
          <w:lang w:val="hy-AM"/>
        </w:rPr>
        <w:t xml:space="preserve">Վաճառողների կողմից  կարող են սահմանվել նաև զեղչերի կիրառման այլ կանոններ այնպիսի ապրանքների համար, որոնց պահպանման ժամկետը մոտենում է կամ ապրանքը </w:t>
      </w:r>
      <w:r w:rsidR="0059480C">
        <w:rPr>
          <w:rFonts w:ascii="GHEA Grapalat" w:eastAsia="Calibri" w:hAnsi="GHEA Grapalat" w:cs="Times New Roman"/>
          <w:sz w:val="24"/>
          <w:szCs w:val="24"/>
          <w:lang w:val="hy-AM"/>
        </w:rPr>
        <w:t>արագ</w:t>
      </w:r>
      <w:r w:rsidRPr="0059480C">
        <w:rPr>
          <w:rFonts w:ascii="GHEA Grapalat" w:eastAsia="Calibri" w:hAnsi="GHEA Grapalat" w:cs="Times New Roman"/>
          <w:sz w:val="24"/>
          <w:szCs w:val="24"/>
          <w:lang w:val="hy-AM"/>
        </w:rPr>
        <w:t xml:space="preserve"> փչացող է։</w:t>
      </w:r>
    </w:p>
    <w:p w14:paraId="3EDCAA8A" w14:textId="7ED4EAF5" w:rsidR="00D96A8B" w:rsidRPr="0059480C" w:rsidRDefault="00936230" w:rsidP="0059480C">
      <w:pPr>
        <w:spacing w:after="0" w:line="360" w:lineRule="auto"/>
        <w:jc w:val="both"/>
        <w:rPr>
          <w:rFonts w:ascii="GHEA Grapalat" w:eastAsia="Calibri" w:hAnsi="GHEA Grapalat" w:cs="Times New Roman"/>
          <w:b/>
          <w:sz w:val="24"/>
          <w:szCs w:val="24"/>
          <w:lang w:val="hy-AM"/>
        </w:rPr>
      </w:pPr>
      <w:r w:rsidRPr="0059480C">
        <w:rPr>
          <w:rFonts w:ascii="GHEA Grapalat" w:eastAsia="Calibri" w:hAnsi="GHEA Grapalat" w:cs="Times New Roman"/>
          <w:sz w:val="24"/>
          <w:szCs w:val="24"/>
          <w:lang w:val="hy-AM"/>
        </w:rPr>
        <w:t xml:space="preserve"> </w:t>
      </w:r>
      <w:r w:rsidR="00F310F9" w:rsidRPr="0059480C">
        <w:rPr>
          <w:rFonts w:ascii="GHEA Grapalat" w:eastAsia="Calibri" w:hAnsi="GHEA Grapalat" w:cs="Times New Roman"/>
          <w:b/>
          <w:sz w:val="24"/>
          <w:szCs w:val="24"/>
          <w:lang w:val="hy-AM"/>
        </w:rPr>
        <w:t>3</w:t>
      </w:r>
      <w:r w:rsidR="00F310F9" w:rsidRPr="0059480C">
        <w:rPr>
          <w:rFonts w:ascii="Cambria Math" w:eastAsia="Calibri" w:hAnsi="Cambria Math" w:cs="Cambria Math"/>
          <w:b/>
          <w:sz w:val="24"/>
          <w:szCs w:val="24"/>
          <w:lang w:val="hy-AM"/>
        </w:rPr>
        <w:t>․</w:t>
      </w:r>
      <w:r w:rsidR="00F310F9" w:rsidRPr="0059480C">
        <w:rPr>
          <w:rFonts w:ascii="GHEA Grapalat" w:eastAsia="Calibri" w:hAnsi="GHEA Grapalat" w:cs="Times New Roman"/>
          <w:b/>
          <w:sz w:val="24"/>
          <w:szCs w:val="24"/>
          <w:lang w:val="hy-AM"/>
        </w:rPr>
        <w:t xml:space="preserve"> </w:t>
      </w:r>
      <w:r w:rsidR="00D96A8B" w:rsidRPr="0059480C">
        <w:rPr>
          <w:rFonts w:ascii="GHEA Grapalat" w:eastAsia="Calibri" w:hAnsi="GHEA Grapalat" w:cs="Times New Roman"/>
          <w:b/>
          <w:sz w:val="24"/>
          <w:szCs w:val="24"/>
          <w:lang w:val="hy-AM"/>
        </w:rPr>
        <w:t>Տվյալ բնագավառում իրականացվող քաղաքականությունը</w:t>
      </w:r>
    </w:p>
    <w:p w14:paraId="32875271" w14:textId="77777777" w:rsidR="00D96A8B" w:rsidRPr="0059480C" w:rsidRDefault="00D96A8B" w:rsidP="0059480C">
      <w:pPr>
        <w:spacing w:after="0" w:line="360" w:lineRule="auto"/>
        <w:jc w:val="both"/>
        <w:rPr>
          <w:rFonts w:ascii="GHEA Grapalat" w:eastAsia="Calibri" w:hAnsi="GHEA Grapalat" w:cs="Times New Roman"/>
          <w:sz w:val="24"/>
          <w:szCs w:val="24"/>
          <w:lang w:val="hy-AM"/>
        </w:rPr>
      </w:pPr>
      <w:r w:rsidRPr="0059480C">
        <w:rPr>
          <w:rFonts w:ascii="GHEA Grapalat" w:eastAsia="Calibri" w:hAnsi="GHEA Grapalat" w:cs="Times New Roman"/>
          <w:sz w:val="24"/>
          <w:szCs w:val="24"/>
          <w:lang w:val="hy-AM"/>
        </w:rPr>
        <w:t>Օրենքի նախագծով ներկայացված է առևտրային զեղչեր կանոնակարգման վերաբերյալ դրույթներ, հասկացություններ, օրենքի նախագծով ներկայացված է զեղչերի կիրառման առանձնահատկությունները:</w:t>
      </w:r>
    </w:p>
    <w:p w14:paraId="0C727885" w14:textId="4946A341" w:rsidR="00D96A8B" w:rsidRDefault="00D96A8B" w:rsidP="0059480C">
      <w:pPr>
        <w:spacing w:after="0" w:line="360" w:lineRule="auto"/>
        <w:jc w:val="both"/>
        <w:rPr>
          <w:rFonts w:ascii="GHEA Grapalat" w:eastAsia="Calibri" w:hAnsi="GHEA Grapalat" w:cs="Times New Roman"/>
          <w:sz w:val="24"/>
          <w:szCs w:val="24"/>
          <w:lang w:val="hy-AM"/>
        </w:rPr>
      </w:pPr>
      <w:r w:rsidRPr="0059480C">
        <w:rPr>
          <w:rFonts w:ascii="GHEA Grapalat" w:eastAsia="Calibri" w:hAnsi="GHEA Grapalat" w:cs="Times New Roman"/>
          <w:sz w:val="24"/>
          <w:szCs w:val="24"/>
          <w:lang w:val="hy-AM"/>
        </w:rPr>
        <w:t>Սահմանվել է առևտրային զեղչերի մասին օրենսդրությունը, որը իր մեջ ներառում է  նաև «Սպառողների իրավունքների պաշտպանության մասին», «Տնտեսական մրցակցության պաշտպանության մասին» Հայաստանի Հանրապետության օրենքները, Հայաստանի Հանրապետության այլ օրենսդրական ակտերը:</w:t>
      </w:r>
    </w:p>
    <w:p w14:paraId="35F1BDF8" w14:textId="1611A644" w:rsidR="0059480C" w:rsidRDefault="0059480C" w:rsidP="0059480C">
      <w:pPr>
        <w:spacing w:after="0" w:line="360" w:lineRule="auto"/>
        <w:jc w:val="both"/>
        <w:rPr>
          <w:rFonts w:ascii="GHEA Grapalat" w:eastAsia="Calibri" w:hAnsi="GHEA Grapalat" w:cs="Times New Roman"/>
          <w:sz w:val="24"/>
          <w:szCs w:val="24"/>
          <w:lang w:val="hy-AM"/>
        </w:rPr>
      </w:pPr>
    </w:p>
    <w:p w14:paraId="3E244A02" w14:textId="77777777" w:rsidR="0059480C" w:rsidRPr="0059480C" w:rsidRDefault="0059480C" w:rsidP="0059480C">
      <w:pPr>
        <w:spacing w:after="0" w:line="360" w:lineRule="auto"/>
        <w:jc w:val="both"/>
        <w:rPr>
          <w:rFonts w:ascii="GHEA Grapalat" w:eastAsia="Calibri" w:hAnsi="GHEA Grapalat" w:cs="Times New Roman"/>
          <w:sz w:val="24"/>
          <w:szCs w:val="24"/>
          <w:lang w:val="hy-AM"/>
        </w:rPr>
      </w:pPr>
    </w:p>
    <w:p w14:paraId="1E863406" w14:textId="776EC0CB" w:rsidR="00D96A8B" w:rsidRPr="0059480C" w:rsidRDefault="00F310F9" w:rsidP="0059480C">
      <w:pPr>
        <w:spacing w:after="0" w:line="360" w:lineRule="auto"/>
        <w:jc w:val="both"/>
        <w:rPr>
          <w:rFonts w:ascii="GHEA Grapalat" w:eastAsia="Calibri" w:hAnsi="GHEA Grapalat" w:cs="Times New Roman"/>
          <w:b/>
          <w:sz w:val="24"/>
          <w:szCs w:val="24"/>
          <w:lang w:val="hy-AM"/>
        </w:rPr>
      </w:pPr>
      <w:r w:rsidRPr="0059480C">
        <w:rPr>
          <w:rFonts w:ascii="GHEA Grapalat" w:eastAsia="Calibri" w:hAnsi="GHEA Grapalat" w:cs="Times New Roman"/>
          <w:b/>
          <w:sz w:val="24"/>
          <w:szCs w:val="24"/>
          <w:lang w:val="hy-AM"/>
        </w:rPr>
        <w:lastRenderedPageBreak/>
        <w:t>4</w:t>
      </w:r>
      <w:r w:rsidRPr="0059480C">
        <w:rPr>
          <w:rFonts w:ascii="Cambria Math" w:eastAsia="Calibri" w:hAnsi="Cambria Math" w:cs="Cambria Math"/>
          <w:b/>
          <w:sz w:val="24"/>
          <w:szCs w:val="24"/>
          <w:lang w:val="hy-AM"/>
        </w:rPr>
        <w:t>․</w:t>
      </w:r>
      <w:r w:rsidRPr="0059480C">
        <w:rPr>
          <w:rFonts w:ascii="GHEA Grapalat" w:eastAsia="Calibri" w:hAnsi="GHEA Grapalat" w:cs="Times New Roman"/>
          <w:b/>
          <w:sz w:val="24"/>
          <w:szCs w:val="24"/>
          <w:lang w:val="hy-AM"/>
        </w:rPr>
        <w:t xml:space="preserve">  </w:t>
      </w:r>
      <w:r w:rsidR="00D96A8B" w:rsidRPr="0059480C">
        <w:rPr>
          <w:rFonts w:ascii="GHEA Grapalat" w:eastAsia="Calibri" w:hAnsi="GHEA Grapalat" w:cs="Times New Roman"/>
          <w:b/>
          <w:sz w:val="24"/>
          <w:szCs w:val="24"/>
          <w:lang w:val="hy-AM"/>
        </w:rPr>
        <w:t>Ակնկալվող արդյունքը</w:t>
      </w:r>
    </w:p>
    <w:p w14:paraId="1D869C61" w14:textId="77777777" w:rsidR="00D96A8B" w:rsidRPr="0059480C" w:rsidRDefault="00D96A8B" w:rsidP="0059480C">
      <w:pPr>
        <w:spacing w:after="0" w:line="360" w:lineRule="auto"/>
        <w:jc w:val="both"/>
        <w:rPr>
          <w:rFonts w:ascii="GHEA Grapalat" w:eastAsia="Calibri" w:hAnsi="GHEA Grapalat" w:cs="Times New Roman"/>
          <w:sz w:val="24"/>
          <w:szCs w:val="24"/>
          <w:lang w:val="hy-AM"/>
        </w:rPr>
      </w:pPr>
      <w:r w:rsidRPr="0059480C">
        <w:rPr>
          <w:rFonts w:ascii="GHEA Grapalat" w:eastAsia="Calibri" w:hAnsi="GHEA Grapalat" w:cs="Times New Roman"/>
          <w:sz w:val="24"/>
          <w:szCs w:val="24"/>
          <w:lang w:val="hy-AM"/>
        </w:rPr>
        <w:t>Օրենքների նախագծերի ընդունման արդյունքում Հայաստանում կձևավորվի առևտրային զեղչերի կիրառման համար բարենպաստ օրենսդրական միջավայր, թե տնտեսավարող սուբյեկտների շահերի տեսանկյունից և թե սպառողների իրավունքների պաշտպանության տեսանկյունից:</w:t>
      </w:r>
    </w:p>
    <w:p w14:paraId="5932E691" w14:textId="47F72F73" w:rsidR="00F310F9" w:rsidRPr="0059480C" w:rsidRDefault="00F310F9" w:rsidP="0059480C">
      <w:pPr>
        <w:spacing w:after="0" w:line="360" w:lineRule="auto"/>
        <w:jc w:val="both"/>
        <w:rPr>
          <w:rFonts w:ascii="GHEA Grapalat" w:hAnsi="GHEA Grapalat"/>
          <w:b/>
          <w:bCs/>
          <w:sz w:val="24"/>
          <w:szCs w:val="24"/>
          <w:lang w:val="hy-AM"/>
        </w:rPr>
      </w:pPr>
      <w:r w:rsidRPr="0059480C">
        <w:rPr>
          <w:rFonts w:ascii="GHEA Grapalat" w:hAnsi="GHEA Grapalat"/>
          <w:b/>
          <w:bCs/>
          <w:sz w:val="24"/>
          <w:szCs w:val="24"/>
          <w:bdr w:val="none" w:sz="0" w:space="0" w:color="auto" w:frame="1"/>
          <w:lang w:val="hy-AM"/>
        </w:rPr>
        <w:t>5</w:t>
      </w:r>
      <w:r w:rsidRPr="0059480C">
        <w:rPr>
          <w:rFonts w:ascii="Cambria Math" w:hAnsi="Cambria Math" w:cs="Cambria Math"/>
          <w:b/>
          <w:bCs/>
          <w:sz w:val="24"/>
          <w:szCs w:val="24"/>
          <w:bdr w:val="none" w:sz="0" w:space="0" w:color="auto" w:frame="1"/>
          <w:lang w:val="hy-AM"/>
        </w:rPr>
        <w:t>․</w:t>
      </w:r>
      <w:r w:rsidRPr="0059480C">
        <w:rPr>
          <w:rFonts w:ascii="GHEA Grapalat" w:hAnsi="GHEA Grapalat"/>
          <w:b/>
          <w:bCs/>
          <w:sz w:val="24"/>
          <w:szCs w:val="24"/>
          <w:bdr w:val="none" w:sz="0" w:space="0" w:color="auto" w:frame="1"/>
          <w:lang w:val="hy-AM"/>
        </w:rPr>
        <w:t xml:space="preserve"> Կապը ռազմավարական փաստաթղթերի հետ. Հայաստանի վերափոխման ռազմավարություն 2050, Կառավարության 2021-2026թթ. ծրագիր, ոլորտային և/կամ այլ ռազմավարություններ</w:t>
      </w:r>
    </w:p>
    <w:p w14:paraId="10C41F25" w14:textId="77777777" w:rsidR="00F310F9" w:rsidRPr="0059480C" w:rsidRDefault="00F310F9" w:rsidP="0059480C">
      <w:pPr>
        <w:spacing w:after="0" w:line="360" w:lineRule="auto"/>
        <w:jc w:val="both"/>
        <w:rPr>
          <w:rFonts w:ascii="GHEA Grapalat" w:hAnsi="GHEA Grapalat"/>
          <w:sz w:val="24"/>
          <w:szCs w:val="24"/>
          <w:lang w:val="hy-AM"/>
        </w:rPr>
      </w:pPr>
      <w:r w:rsidRPr="0059480C">
        <w:rPr>
          <w:rFonts w:ascii="GHEA Grapalat" w:hAnsi="GHEA Grapalat"/>
          <w:sz w:val="24"/>
          <w:szCs w:val="24"/>
          <w:lang w:val="hy-AM"/>
        </w:rPr>
        <w:t>Ռազմավարական փաստաթղթերի հետ առնչություն չունի:</w:t>
      </w:r>
    </w:p>
    <w:p w14:paraId="6F05D5EF" w14:textId="7DD9F157" w:rsidR="00F310F9" w:rsidRPr="0059480C" w:rsidRDefault="00F310F9" w:rsidP="0059480C">
      <w:pPr>
        <w:spacing w:after="0" w:line="360" w:lineRule="auto"/>
        <w:jc w:val="both"/>
        <w:rPr>
          <w:rFonts w:ascii="GHEA Grapalat" w:hAnsi="GHEA Grapalat" w:cs="Calibri"/>
          <w:sz w:val="24"/>
          <w:szCs w:val="24"/>
          <w:bdr w:val="none" w:sz="0" w:space="0" w:color="auto" w:frame="1"/>
          <w:lang w:val="hy-AM"/>
        </w:rPr>
      </w:pPr>
      <w:r w:rsidRPr="0059480C">
        <w:rPr>
          <w:rFonts w:ascii="GHEA Grapalat" w:hAnsi="GHEA Grapalat" w:cs="Cambria Math"/>
          <w:b/>
          <w:bCs/>
          <w:sz w:val="24"/>
          <w:szCs w:val="24"/>
          <w:bdr w:val="none" w:sz="0" w:space="0" w:color="auto" w:frame="1"/>
          <w:lang w:val="hy-AM"/>
        </w:rPr>
        <w:t>6</w:t>
      </w:r>
      <w:r w:rsidRPr="0059480C">
        <w:rPr>
          <w:rFonts w:ascii="Cambria Math" w:hAnsi="Cambria Math" w:cs="Cambria Math"/>
          <w:b/>
          <w:bCs/>
          <w:sz w:val="24"/>
          <w:szCs w:val="24"/>
          <w:bdr w:val="none" w:sz="0" w:space="0" w:color="auto" w:frame="1"/>
          <w:lang w:val="hy-AM"/>
        </w:rPr>
        <w:t>․</w:t>
      </w:r>
      <w:r w:rsidRPr="0059480C">
        <w:rPr>
          <w:rFonts w:ascii="Calibri" w:hAnsi="Calibri" w:cs="Calibri"/>
          <w:b/>
          <w:bCs/>
          <w:sz w:val="24"/>
          <w:szCs w:val="24"/>
          <w:lang w:val="hy-AM"/>
        </w:rPr>
        <w:t> </w:t>
      </w:r>
      <w:r w:rsidRPr="0059480C">
        <w:rPr>
          <w:rFonts w:ascii="GHEA Grapalat" w:hAnsi="GHEA Grapalat"/>
          <w:b/>
          <w:bCs/>
          <w:sz w:val="24"/>
          <w:szCs w:val="24"/>
          <w:bdr w:val="none" w:sz="0" w:space="0" w:color="auto" w:frame="1"/>
          <w:lang w:val="hy-AM"/>
        </w:rPr>
        <w:t>Նախագծի</w:t>
      </w:r>
      <w:r w:rsidRPr="0059480C">
        <w:rPr>
          <w:rFonts w:ascii="Calibri" w:hAnsi="Calibri" w:cs="Calibri"/>
          <w:b/>
          <w:bCs/>
          <w:sz w:val="24"/>
          <w:szCs w:val="24"/>
          <w:lang w:val="hy-AM"/>
        </w:rPr>
        <w:t> </w:t>
      </w:r>
      <w:r w:rsidRPr="0059480C">
        <w:rPr>
          <w:rFonts w:ascii="GHEA Grapalat" w:hAnsi="GHEA Grapalat"/>
          <w:b/>
          <w:bCs/>
          <w:sz w:val="24"/>
          <w:szCs w:val="24"/>
          <w:bdr w:val="none" w:sz="0" w:space="0" w:color="auto" w:frame="1"/>
          <w:lang w:val="hy-AM"/>
        </w:rPr>
        <w:t>մշակման</w:t>
      </w:r>
      <w:r w:rsidRPr="0059480C">
        <w:rPr>
          <w:rFonts w:ascii="Calibri" w:hAnsi="Calibri" w:cs="Calibri"/>
          <w:b/>
          <w:bCs/>
          <w:sz w:val="24"/>
          <w:szCs w:val="24"/>
          <w:lang w:val="hy-AM"/>
        </w:rPr>
        <w:t> </w:t>
      </w:r>
      <w:r w:rsidRPr="0059480C">
        <w:rPr>
          <w:rFonts w:ascii="GHEA Grapalat" w:hAnsi="GHEA Grapalat"/>
          <w:b/>
          <w:bCs/>
          <w:sz w:val="24"/>
          <w:szCs w:val="24"/>
          <w:bdr w:val="none" w:sz="0" w:space="0" w:color="auto" w:frame="1"/>
          <w:lang w:val="hy-AM"/>
        </w:rPr>
        <w:t>գործընթացում</w:t>
      </w:r>
      <w:r w:rsidRPr="0059480C">
        <w:rPr>
          <w:rFonts w:ascii="Calibri" w:hAnsi="Calibri" w:cs="Calibri"/>
          <w:b/>
          <w:bCs/>
          <w:sz w:val="24"/>
          <w:szCs w:val="24"/>
          <w:lang w:val="hy-AM"/>
        </w:rPr>
        <w:t> </w:t>
      </w:r>
      <w:r w:rsidRPr="0059480C">
        <w:rPr>
          <w:rFonts w:ascii="GHEA Grapalat" w:hAnsi="GHEA Grapalat"/>
          <w:b/>
          <w:bCs/>
          <w:sz w:val="24"/>
          <w:szCs w:val="24"/>
          <w:bdr w:val="none" w:sz="0" w:space="0" w:color="auto" w:frame="1"/>
          <w:lang w:val="hy-AM"/>
        </w:rPr>
        <w:t>ներգրավված</w:t>
      </w:r>
      <w:r w:rsidRPr="0059480C">
        <w:rPr>
          <w:rFonts w:ascii="Calibri" w:hAnsi="Calibri" w:cs="Calibri"/>
          <w:b/>
          <w:bCs/>
          <w:sz w:val="24"/>
          <w:szCs w:val="24"/>
          <w:lang w:val="hy-AM"/>
        </w:rPr>
        <w:t> </w:t>
      </w:r>
      <w:r w:rsidRPr="0059480C">
        <w:rPr>
          <w:rFonts w:ascii="GHEA Grapalat" w:hAnsi="GHEA Grapalat"/>
          <w:b/>
          <w:bCs/>
          <w:sz w:val="24"/>
          <w:szCs w:val="24"/>
          <w:bdr w:val="none" w:sz="0" w:space="0" w:color="auto" w:frame="1"/>
          <w:lang w:val="hy-AM"/>
        </w:rPr>
        <w:t>ինստիտուտները</w:t>
      </w:r>
      <w:r w:rsidRPr="0059480C">
        <w:rPr>
          <w:rFonts w:ascii="Calibri" w:hAnsi="Calibri" w:cs="Calibri"/>
          <w:b/>
          <w:bCs/>
          <w:sz w:val="24"/>
          <w:szCs w:val="24"/>
          <w:lang w:val="hy-AM"/>
        </w:rPr>
        <w:t> </w:t>
      </w:r>
      <w:r w:rsidRPr="0059480C">
        <w:rPr>
          <w:rFonts w:ascii="GHEA Grapalat" w:hAnsi="GHEA Grapalat"/>
          <w:b/>
          <w:bCs/>
          <w:sz w:val="24"/>
          <w:szCs w:val="24"/>
          <w:bdr w:val="none" w:sz="0" w:space="0" w:color="auto" w:frame="1"/>
          <w:lang w:val="hy-AM"/>
        </w:rPr>
        <w:t>և</w:t>
      </w:r>
      <w:r w:rsidRPr="0059480C">
        <w:rPr>
          <w:rFonts w:ascii="Calibri" w:hAnsi="Calibri" w:cs="Calibri"/>
          <w:b/>
          <w:bCs/>
          <w:sz w:val="24"/>
          <w:szCs w:val="24"/>
          <w:lang w:val="hy-AM"/>
        </w:rPr>
        <w:t> </w:t>
      </w:r>
      <w:r w:rsidRPr="0059480C">
        <w:rPr>
          <w:rFonts w:ascii="GHEA Grapalat" w:hAnsi="GHEA Grapalat"/>
          <w:b/>
          <w:bCs/>
          <w:sz w:val="24"/>
          <w:szCs w:val="24"/>
          <w:bdr w:val="none" w:sz="0" w:space="0" w:color="auto" w:frame="1"/>
          <w:lang w:val="hy-AM"/>
        </w:rPr>
        <w:t>անձինք</w:t>
      </w:r>
      <w:r w:rsidRPr="0059480C">
        <w:rPr>
          <w:rFonts w:ascii="GHEA Grapalat" w:hAnsi="GHEA Grapalat"/>
          <w:sz w:val="24"/>
          <w:szCs w:val="24"/>
          <w:bdr w:val="none" w:sz="0" w:space="0" w:color="auto" w:frame="1"/>
          <w:lang w:val="hy-AM"/>
        </w:rPr>
        <w:t>.</w:t>
      </w:r>
      <w:r w:rsidRPr="0059480C">
        <w:rPr>
          <w:rFonts w:ascii="Calibri" w:hAnsi="Calibri" w:cs="Calibri"/>
          <w:sz w:val="24"/>
          <w:szCs w:val="24"/>
          <w:bdr w:val="none" w:sz="0" w:space="0" w:color="auto" w:frame="1"/>
          <w:lang w:val="hy-AM"/>
        </w:rPr>
        <w:t> </w:t>
      </w:r>
    </w:p>
    <w:p w14:paraId="4EEB9972" w14:textId="3A7A7EA9" w:rsidR="00F310F9" w:rsidRDefault="0059480C" w:rsidP="0059480C">
      <w:pPr>
        <w:spacing w:after="0" w:line="360" w:lineRule="auto"/>
        <w:jc w:val="both"/>
        <w:rPr>
          <w:rFonts w:ascii="GHEA Grapalat" w:hAnsi="GHEA Grapalat"/>
          <w:sz w:val="24"/>
          <w:szCs w:val="24"/>
          <w:lang w:val="hy-AM"/>
        </w:rPr>
      </w:pPr>
      <w:r>
        <w:rPr>
          <w:rFonts w:ascii="GHEA Grapalat" w:hAnsi="GHEA Grapalat"/>
          <w:sz w:val="24"/>
          <w:szCs w:val="24"/>
          <w:lang w:val="hy-AM"/>
        </w:rPr>
        <w:t>Նախագ</w:t>
      </w:r>
      <w:r w:rsidR="00F310F9" w:rsidRPr="0059480C">
        <w:rPr>
          <w:rFonts w:ascii="GHEA Grapalat" w:hAnsi="GHEA Grapalat"/>
          <w:sz w:val="24"/>
          <w:szCs w:val="24"/>
          <w:lang w:val="hy-AM"/>
        </w:rPr>
        <w:t>ծ</w:t>
      </w:r>
      <w:r>
        <w:rPr>
          <w:rFonts w:ascii="GHEA Grapalat" w:hAnsi="GHEA Grapalat"/>
          <w:sz w:val="24"/>
          <w:szCs w:val="24"/>
          <w:lang w:val="hy-AM"/>
        </w:rPr>
        <w:t>եր</w:t>
      </w:r>
      <w:r w:rsidR="00F310F9" w:rsidRPr="0059480C">
        <w:rPr>
          <w:rFonts w:ascii="GHEA Grapalat" w:hAnsi="GHEA Grapalat"/>
          <w:sz w:val="24"/>
          <w:szCs w:val="24"/>
          <w:lang w:val="hy-AM"/>
        </w:rPr>
        <w:t xml:space="preserve">ը մշակվել </w:t>
      </w:r>
      <w:r>
        <w:rPr>
          <w:rFonts w:ascii="GHEA Grapalat" w:hAnsi="GHEA Grapalat"/>
          <w:sz w:val="24"/>
          <w:szCs w:val="24"/>
          <w:lang w:val="hy-AM"/>
        </w:rPr>
        <w:t>են</w:t>
      </w:r>
      <w:r w:rsidR="00F310F9" w:rsidRPr="0059480C">
        <w:rPr>
          <w:rFonts w:ascii="GHEA Grapalat" w:hAnsi="GHEA Grapalat"/>
          <w:sz w:val="24"/>
          <w:szCs w:val="24"/>
          <w:lang w:val="hy-AM"/>
        </w:rPr>
        <w:t xml:space="preserve"> ՀՀ էկոնոմիկայի նախարարության կողմից:</w:t>
      </w:r>
    </w:p>
    <w:p w14:paraId="549D4F98" w14:textId="77777777" w:rsidR="0059480C" w:rsidRDefault="0059480C" w:rsidP="0059480C">
      <w:pPr>
        <w:spacing w:after="0" w:line="360" w:lineRule="auto"/>
        <w:jc w:val="both"/>
        <w:rPr>
          <w:rFonts w:ascii="GHEA Grapalat" w:hAnsi="GHEA Grapalat" w:cs="Sylfaen"/>
          <w:b/>
          <w:bCs/>
          <w:color w:val="000000"/>
          <w:sz w:val="24"/>
          <w:szCs w:val="24"/>
          <w:lang w:val="hy-AM"/>
        </w:rPr>
      </w:pPr>
      <w:r w:rsidRPr="00266952">
        <w:rPr>
          <w:rFonts w:ascii="GHEA Grapalat" w:hAnsi="GHEA Grapalat" w:cs="Sylfaen"/>
          <w:b/>
          <w:bCs/>
          <w:color w:val="000000"/>
          <w:sz w:val="24"/>
          <w:szCs w:val="24"/>
          <w:lang w:val="hy-AM"/>
        </w:rPr>
        <w:t>7. Այլ տեղեկություններ (եթե այդպիսիք առկա են)</w:t>
      </w:r>
    </w:p>
    <w:p w14:paraId="4903518D" w14:textId="3F442691" w:rsidR="0059480C" w:rsidRPr="004A1C73" w:rsidRDefault="0059480C" w:rsidP="0059480C">
      <w:pPr>
        <w:spacing w:after="0" w:line="360" w:lineRule="auto"/>
        <w:jc w:val="both"/>
        <w:rPr>
          <w:rFonts w:ascii="GHEA Grapalat" w:hAnsi="GHEA Grapalat" w:cs="Sylfaen"/>
          <w:b/>
          <w:bCs/>
          <w:color w:val="000000"/>
          <w:sz w:val="24"/>
          <w:szCs w:val="24"/>
          <w:lang w:val="hy-AM"/>
        </w:rPr>
      </w:pPr>
      <w:r w:rsidRPr="0059480C">
        <w:rPr>
          <w:rFonts w:ascii="GHEA Grapalat" w:eastAsia="Calibri" w:hAnsi="GHEA Grapalat" w:cs="Times New Roman"/>
          <w:sz w:val="24"/>
          <w:szCs w:val="24"/>
          <w:lang w:val="hy-AM"/>
        </w:rPr>
        <w:t xml:space="preserve">Օրենքների  </w:t>
      </w:r>
      <w:r w:rsidRPr="00266952">
        <w:rPr>
          <w:rFonts w:ascii="GHEA Grapalat" w:hAnsi="GHEA Grapalat"/>
          <w:sz w:val="24"/>
          <w:szCs w:val="24"/>
          <w:lang w:val="hy-AM"/>
        </w:rPr>
        <w:t xml:space="preserve">ընդունմամբ ՀՀ պետական բյուջեի (կամ տեղական ինքնակառավարման մարմնի բյուջեի) ծախսերի կամ եկամուտների </w:t>
      </w:r>
      <w:r w:rsidRPr="00266952">
        <w:rPr>
          <w:rFonts w:ascii="GHEA Grapalat" w:hAnsi="GHEA Grapalat" w:cs="Sylfaen"/>
          <w:bCs/>
          <w:color w:val="000000"/>
          <w:sz w:val="24"/>
          <w:szCs w:val="24"/>
          <w:lang w:val="hy-AM"/>
        </w:rPr>
        <w:t>ավելացում կամ նվազեցում չի ակնկալվում:</w:t>
      </w:r>
    </w:p>
    <w:p w14:paraId="21C37152" w14:textId="77777777" w:rsidR="0059480C" w:rsidRPr="0059480C" w:rsidRDefault="0059480C" w:rsidP="0059480C">
      <w:pPr>
        <w:spacing w:after="0" w:line="360" w:lineRule="auto"/>
        <w:jc w:val="both"/>
        <w:rPr>
          <w:rFonts w:ascii="GHEA Grapalat" w:hAnsi="GHEA Grapalat"/>
          <w:sz w:val="24"/>
          <w:szCs w:val="24"/>
          <w:lang w:val="hy-AM"/>
        </w:rPr>
      </w:pPr>
    </w:p>
    <w:p w14:paraId="5029F2AE" w14:textId="77777777" w:rsidR="00D96A8B" w:rsidRPr="0059480C" w:rsidRDefault="00D96A8B" w:rsidP="0059480C">
      <w:pPr>
        <w:spacing w:after="0" w:line="360" w:lineRule="auto"/>
        <w:jc w:val="both"/>
        <w:rPr>
          <w:rFonts w:ascii="GHEA Grapalat" w:eastAsia="Calibri" w:hAnsi="GHEA Grapalat" w:cs="Times New Roman"/>
          <w:sz w:val="24"/>
          <w:szCs w:val="24"/>
          <w:lang w:val="hy-AM"/>
        </w:rPr>
      </w:pPr>
      <w:r w:rsidRPr="0059480C">
        <w:rPr>
          <w:rFonts w:ascii="GHEA Grapalat" w:eastAsia="Calibri" w:hAnsi="GHEA Grapalat" w:cs="Times New Roman"/>
          <w:sz w:val="24"/>
          <w:szCs w:val="24"/>
          <w:lang w:val="hy-AM"/>
        </w:rPr>
        <w:t xml:space="preserve"> </w:t>
      </w:r>
      <w:bookmarkStart w:id="0" w:name="_GoBack"/>
      <w:bookmarkEnd w:id="0"/>
    </w:p>
    <w:p w14:paraId="744FD4F3" w14:textId="77777777" w:rsidR="00D96A8B" w:rsidRPr="0059480C" w:rsidRDefault="00D96A8B" w:rsidP="0059480C">
      <w:pPr>
        <w:spacing w:after="0" w:line="360" w:lineRule="auto"/>
        <w:rPr>
          <w:rFonts w:ascii="GHEA Grapalat" w:eastAsia="Calibri" w:hAnsi="GHEA Grapalat" w:cs="Times New Roman"/>
          <w:sz w:val="24"/>
          <w:szCs w:val="24"/>
          <w:lang w:val="hy-AM"/>
        </w:rPr>
      </w:pPr>
    </w:p>
    <w:p w14:paraId="35A96304" w14:textId="77777777" w:rsidR="00D96A8B" w:rsidRPr="0059480C" w:rsidRDefault="00D96A8B" w:rsidP="0059480C">
      <w:pPr>
        <w:spacing w:after="0" w:line="360" w:lineRule="auto"/>
        <w:jc w:val="center"/>
        <w:rPr>
          <w:rFonts w:ascii="GHEA Grapalat" w:eastAsia="Calibri" w:hAnsi="GHEA Grapalat" w:cs="Times New Roman"/>
          <w:sz w:val="24"/>
          <w:szCs w:val="24"/>
          <w:lang w:val="hy-AM"/>
        </w:rPr>
      </w:pPr>
    </w:p>
    <w:p w14:paraId="6A8927A9" w14:textId="77777777" w:rsidR="00306C0E" w:rsidRPr="0059480C" w:rsidRDefault="00306C0E" w:rsidP="0059480C">
      <w:pPr>
        <w:spacing w:after="0" w:line="360" w:lineRule="auto"/>
        <w:rPr>
          <w:rFonts w:ascii="GHEA Grapalat" w:hAnsi="GHEA Grapalat"/>
          <w:lang w:val="hy-AM"/>
        </w:rPr>
      </w:pPr>
    </w:p>
    <w:sectPr w:rsidR="00306C0E" w:rsidRPr="005948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10ECC" w14:textId="77777777" w:rsidR="00EF2BE9" w:rsidRDefault="00EF2BE9" w:rsidP="006D5F09">
      <w:pPr>
        <w:spacing w:after="0" w:line="240" w:lineRule="auto"/>
      </w:pPr>
      <w:r>
        <w:separator/>
      </w:r>
    </w:p>
  </w:endnote>
  <w:endnote w:type="continuationSeparator" w:id="0">
    <w:p w14:paraId="1E8B2761" w14:textId="77777777" w:rsidR="00EF2BE9" w:rsidRDefault="00EF2BE9" w:rsidP="006D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B8D31" w14:textId="77777777" w:rsidR="00EF2BE9" w:rsidRDefault="00EF2BE9" w:rsidP="006D5F09">
      <w:pPr>
        <w:spacing w:after="0" w:line="240" w:lineRule="auto"/>
      </w:pPr>
      <w:r>
        <w:separator/>
      </w:r>
    </w:p>
  </w:footnote>
  <w:footnote w:type="continuationSeparator" w:id="0">
    <w:p w14:paraId="15023E54" w14:textId="77777777" w:rsidR="00EF2BE9" w:rsidRDefault="00EF2BE9" w:rsidP="006D5F09">
      <w:pPr>
        <w:spacing w:after="0" w:line="240" w:lineRule="auto"/>
      </w:pPr>
      <w:r>
        <w:continuationSeparator/>
      </w:r>
    </w:p>
  </w:footnote>
  <w:footnote w:id="1">
    <w:p w14:paraId="6CFDB946" w14:textId="270A7ECF" w:rsidR="006D5F09" w:rsidRDefault="006D5F09">
      <w:pPr>
        <w:pStyle w:val="FootnoteText"/>
      </w:pPr>
      <w:r>
        <w:rPr>
          <w:rStyle w:val="FootnoteReference"/>
        </w:rPr>
        <w:footnoteRef/>
      </w:r>
      <w:r>
        <w:t xml:space="preserve"> </w:t>
      </w:r>
      <w:hyperlink r:id="rId1" w:history="1">
        <w:r w:rsidRPr="00A64E74">
          <w:rPr>
            <w:rStyle w:val="Hyperlink"/>
          </w:rPr>
          <w:t>https://eur-lex.europa.eu/legal-content/en/TXT/?uri=CELEX%3A31978L0933</w:t>
        </w:r>
      </w:hyperlink>
    </w:p>
    <w:p w14:paraId="2A91DC1C" w14:textId="77777777" w:rsidR="006D5F09" w:rsidRPr="006D5F09" w:rsidRDefault="006D5F09">
      <w:pPr>
        <w:pStyle w:val="FootnoteText"/>
        <w:rPr>
          <w:lang w:val="hy-AM"/>
        </w:rPr>
      </w:pPr>
    </w:p>
  </w:footnote>
  <w:footnote w:id="2">
    <w:p w14:paraId="6FAC8425" w14:textId="2A7C529B" w:rsidR="006D5F09" w:rsidRDefault="006D5F09">
      <w:pPr>
        <w:pStyle w:val="FootnoteText"/>
        <w:rPr>
          <w:lang w:val="hy-AM"/>
        </w:rPr>
      </w:pPr>
      <w:r>
        <w:rPr>
          <w:rStyle w:val="FootnoteReference"/>
        </w:rPr>
        <w:footnoteRef/>
      </w:r>
      <w:r w:rsidRPr="006D5F09">
        <w:rPr>
          <w:lang w:val="hy-AM"/>
        </w:rPr>
        <w:t xml:space="preserve"> </w:t>
      </w:r>
      <w:r w:rsidR="00EF2BE9">
        <w:fldChar w:fldCharType="begin"/>
      </w:r>
      <w:r w:rsidR="00EF2BE9" w:rsidRPr="0059480C">
        <w:rPr>
          <w:lang w:val="hy-AM"/>
        </w:rPr>
        <w:instrText xml:space="preserve"> HYPERLINK "https://eur-lex.europa.eu/legal-content/en/ALL/?uri=CELEX%3A31998L0006" </w:instrText>
      </w:r>
      <w:r w:rsidR="00EF2BE9">
        <w:fldChar w:fldCharType="separate"/>
      </w:r>
      <w:r w:rsidRPr="00A64E74">
        <w:rPr>
          <w:rStyle w:val="Hyperlink"/>
          <w:lang w:val="hy-AM"/>
        </w:rPr>
        <w:t>https://eur-lex.europa.eu/legal-content/en/ALL/?uri=CELEX%3A31998L0006</w:t>
      </w:r>
      <w:r w:rsidR="00EF2BE9">
        <w:rPr>
          <w:rStyle w:val="Hyperlink"/>
          <w:lang w:val="hy-AM"/>
        </w:rPr>
        <w:fldChar w:fldCharType="end"/>
      </w:r>
    </w:p>
    <w:p w14:paraId="3AF3378A" w14:textId="77777777" w:rsidR="006D5F09" w:rsidRPr="006D5F09" w:rsidRDefault="006D5F09">
      <w:pPr>
        <w:pStyle w:val="FootnoteText"/>
        <w:rPr>
          <w:lang w:val="hy-AM"/>
        </w:rPr>
      </w:pPr>
    </w:p>
  </w:footnote>
  <w:footnote w:id="3">
    <w:p w14:paraId="5B239AE7" w14:textId="34E7C504" w:rsidR="006D5F09" w:rsidRDefault="006D5F09">
      <w:pPr>
        <w:pStyle w:val="FootnoteText"/>
        <w:rPr>
          <w:lang w:val="hy-AM"/>
        </w:rPr>
      </w:pPr>
      <w:r>
        <w:rPr>
          <w:rStyle w:val="FootnoteReference"/>
        </w:rPr>
        <w:footnoteRef/>
      </w:r>
      <w:r w:rsidRPr="006D5F09">
        <w:rPr>
          <w:lang w:val="hy-AM"/>
        </w:rPr>
        <w:t xml:space="preserve"> </w:t>
      </w:r>
      <w:r w:rsidR="00EF2BE9">
        <w:fldChar w:fldCharType="begin"/>
      </w:r>
      <w:r w:rsidR="00EF2BE9" w:rsidRPr="0059480C">
        <w:rPr>
          <w:lang w:val="hy-AM"/>
        </w:rPr>
        <w:instrText xml:space="preserve"> HYPERLINK "https://eur-lex.europa.eu/legal-content/EN/TXT/?uri=CELEX%3A32005L0029" </w:instrText>
      </w:r>
      <w:r w:rsidR="00EF2BE9">
        <w:fldChar w:fldCharType="separate"/>
      </w:r>
      <w:r w:rsidRPr="00A64E74">
        <w:rPr>
          <w:rStyle w:val="Hyperlink"/>
          <w:lang w:val="hy-AM"/>
        </w:rPr>
        <w:t>https://eur-lex.europa.eu/legal-content/EN/TXT/?uri=CELEX%3A32005L0029</w:t>
      </w:r>
      <w:r w:rsidR="00EF2BE9">
        <w:rPr>
          <w:rStyle w:val="Hyperlink"/>
          <w:lang w:val="hy-AM"/>
        </w:rPr>
        <w:fldChar w:fldCharType="end"/>
      </w:r>
    </w:p>
    <w:p w14:paraId="63C314AB" w14:textId="77777777" w:rsidR="006D5F09" w:rsidRPr="006D5F09" w:rsidRDefault="006D5F09">
      <w:pPr>
        <w:pStyle w:val="FootnoteText"/>
        <w:rPr>
          <w:lang w:val="hy-AM"/>
        </w:rPr>
      </w:pPr>
    </w:p>
  </w:footnote>
  <w:footnote w:id="4">
    <w:p w14:paraId="39BEAC3C" w14:textId="17BA4A6E" w:rsidR="006D5F09" w:rsidRDefault="006D5F09">
      <w:pPr>
        <w:pStyle w:val="FootnoteText"/>
        <w:rPr>
          <w:lang w:val="hy-AM"/>
        </w:rPr>
      </w:pPr>
      <w:r>
        <w:rPr>
          <w:rStyle w:val="FootnoteReference"/>
        </w:rPr>
        <w:footnoteRef/>
      </w:r>
      <w:r w:rsidRPr="006D5F09">
        <w:rPr>
          <w:lang w:val="hy-AM"/>
        </w:rPr>
        <w:t xml:space="preserve"> </w:t>
      </w:r>
      <w:r w:rsidR="00EF2BE9">
        <w:fldChar w:fldCharType="begin"/>
      </w:r>
      <w:r w:rsidR="00EF2BE9" w:rsidRPr="0059480C">
        <w:rPr>
          <w:lang w:val="hy-AM"/>
        </w:rPr>
        <w:instrText xml:space="preserve"> HYPERLINK "https://eur-lex.europa.eu/eli/dir/2019/2161/oj" </w:instrText>
      </w:r>
      <w:r w:rsidR="00EF2BE9">
        <w:fldChar w:fldCharType="separate"/>
      </w:r>
      <w:r w:rsidRPr="00A64E74">
        <w:rPr>
          <w:rStyle w:val="Hyperlink"/>
          <w:lang w:val="hy-AM"/>
        </w:rPr>
        <w:t>https://eur-lex.europa.eu/eli/dir/2019/2161/oj</w:t>
      </w:r>
      <w:r w:rsidR="00EF2BE9">
        <w:rPr>
          <w:rStyle w:val="Hyperlink"/>
          <w:lang w:val="hy-AM"/>
        </w:rPr>
        <w:fldChar w:fldCharType="end"/>
      </w:r>
    </w:p>
    <w:p w14:paraId="782AE212" w14:textId="77777777" w:rsidR="006D5F09" w:rsidRPr="006D5F09" w:rsidRDefault="006D5F09">
      <w:pPr>
        <w:pStyle w:val="FootnoteText"/>
        <w:rPr>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3644C"/>
    <w:multiLevelType w:val="multilevel"/>
    <w:tmpl w:val="19C032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BD096F"/>
    <w:multiLevelType w:val="hybridMultilevel"/>
    <w:tmpl w:val="EE6E987C"/>
    <w:lvl w:ilvl="0" w:tplc="35BAB172">
      <w:start w:val="1"/>
      <w:numFmt w:val="decimal"/>
      <w:lvlText w:val="%1."/>
      <w:lvlJc w:val="left"/>
      <w:pPr>
        <w:ind w:left="99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3E"/>
    <w:rsid w:val="00204B7D"/>
    <w:rsid w:val="002A7DE2"/>
    <w:rsid w:val="00306C0E"/>
    <w:rsid w:val="0059480C"/>
    <w:rsid w:val="0061652C"/>
    <w:rsid w:val="006D5F09"/>
    <w:rsid w:val="008745AC"/>
    <w:rsid w:val="00936230"/>
    <w:rsid w:val="00C3263E"/>
    <w:rsid w:val="00D96A8B"/>
    <w:rsid w:val="00EF2BE9"/>
    <w:rsid w:val="00F310F9"/>
    <w:rsid w:val="00F3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62AB"/>
  <w15:chartTrackingRefBased/>
  <w15:docId w15:val="{DF94E441-0C60-4317-BE51-E0BC9111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D5F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5F09"/>
    <w:rPr>
      <w:sz w:val="20"/>
      <w:szCs w:val="20"/>
    </w:rPr>
  </w:style>
  <w:style w:type="character" w:styleId="FootnoteReference">
    <w:name w:val="footnote reference"/>
    <w:basedOn w:val="DefaultParagraphFont"/>
    <w:uiPriority w:val="99"/>
    <w:semiHidden/>
    <w:unhideWhenUsed/>
    <w:rsid w:val="006D5F09"/>
    <w:rPr>
      <w:vertAlign w:val="superscript"/>
    </w:rPr>
  </w:style>
  <w:style w:type="character" w:styleId="Hyperlink">
    <w:name w:val="Hyperlink"/>
    <w:basedOn w:val="DefaultParagraphFont"/>
    <w:uiPriority w:val="99"/>
    <w:unhideWhenUsed/>
    <w:rsid w:val="006D5F09"/>
    <w:rPr>
      <w:color w:val="0563C1" w:themeColor="hyperlink"/>
      <w:u w:val="single"/>
    </w:rPr>
  </w:style>
  <w:style w:type="character" w:customStyle="1" w:styleId="UnresolvedMention">
    <w:name w:val="Unresolved Mention"/>
    <w:basedOn w:val="DefaultParagraphFont"/>
    <w:uiPriority w:val="99"/>
    <w:semiHidden/>
    <w:unhideWhenUsed/>
    <w:rsid w:val="006D5F09"/>
    <w:rPr>
      <w:color w:val="605E5C"/>
      <w:shd w:val="clear" w:color="auto" w:fill="E1DFDD"/>
    </w:rPr>
  </w:style>
  <w:style w:type="paragraph" w:styleId="ListParagraph">
    <w:name w:val="List Paragraph"/>
    <w:basedOn w:val="Normal"/>
    <w:uiPriority w:val="34"/>
    <w:qFormat/>
    <w:rsid w:val="00F31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31978L09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65885-BC94-4710-AFDE-0151B4BA9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Naira A. Musheghyan</dc:creator>
  <cp:keywords/>
  <dc:description/>
  <cp:lastModifiedBy>Lilit L. Avenyan</cp:lastModifiedBy>
  <cp:revision>7</cp:revision>
  <dcterms:created xsi:type="dcterms:W3CDTF">2021-12-21T05:24:00Z</dcterms:created>
  <dcterms:modified xsi:type="dcterms:W3CDTF">2021-12-21T08:15:00Z</dcterms:modified>
</cp:coreProperties>
</file>