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205EAB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DC7B2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 w:rsidR="00DC7B2B">
        <w:rPr>
          <w:rFonts w:ascii="GHEA Grapalat" w:hAnsi="GHEA Grapalat" w:cs="Sylfaen"/>
          <w:b/>
          <w:color w:val="000000"/>
          <w:sz w:val="24"/>
          <w:szCs w:val="24"/>
        </w:rPr>
        <w:t>Է</w:t>
      </w:r>
      <w:r w:rsidR="00DC7B2B" w:rsidRPr="00DC7B2B">
        <w:rPr>
          <w:rFonts w:ascii="GHEA Grapalat" w:hAnsi="GHEA Grapalat" w:cs="Sylfaen"/>
          <w:b/>
          <w:color w:val="000000"/>
          <w:sz w:val="24"/>
          <w:szCs w:val="24"/>
        </w:rPr>
        <w:t>լեկտրոնային հաղորդակցության բնագավառում կարգավորվող անձանց նկատմամբ հսկողության փոխանցումը համաձայնեցնելու կարգը</w:t>
      </w:r>
      <w:r w:rsidR="00DC7B2B" w:rsidRPr="00DC7B2B">
        <w:rPr>
          <w:rFonts w:ascii="GHEA Grapalat" w:hAnsi="GHEA Grapalat" w:cs="Sylfaen"/>
          <w:b/>
          <w:color w:val="000000"/>
          <w:sz w:val="24"/>
          <w:szCs w:val="24"/>
        </w:rPr>
        <w:t xml:space="preserve"> հաստատելու մասին</w:t>
      </w:r>
      <w:r w:rsidRPr="00DC7B2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»</w:t>
      </w:r>
      <w:r w:rsidR="00D202CE" w:rsidRPr="00DC7B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DC7B2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ՀՀ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հանրային ծառայությունները կարգավորող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9378BE" w:rsidRPr="00F42353" w:rsidRDefault="00DC7B2B" w:rsidP="00DC7B2B">
      <w:pPr>
        <w:pStyle w:val="namak"/>
        <w:spacing w:line="336" w:lineRule="auto"/>
        <w:rPr>
          <w:lang w:val="hy-AM"/>
        </w:rPr>
      </w:pPr>
      <w:r>
        <w:rPr>
          <w:rFonts w:cs="Times Armenian"/>
          <w:lang w:val="hy-AM"/>
        </w:rPr>
        <w:t xml:space="preserve">2021 թվականի դեկտեմբերի 1-ից ուժի մեջ է մտել «Էլեկտրոնային հաղորդակցության մասին» օրենքում փոփոխություններ և լրացում կատարելու մասին» ՀՕ-368-Ն օրենքը, որի համաձայն՝ ՀՀ հանրային ծառայությունները կարգավորող հանձնաժողովին վերապահվել է էլեկտրոնային հաղորդակցության բնագավառում </w:t>
      </w:r>
      <w:r w:rsidRPr="00DC7B2B">
        <w:rPr>
          <w:color w:val="000000"/>
          <w:shd w:val="clear" w:color="auto" w:fill="FFFFFF"/>
          <w:lang w:val="hy-AM"/>
        </w:rPr>
        <w:t>կարգավորվող անձանց նկատմամբ հսկողության փոխանցումը համաձայնեցնելու կարգ</w:t>
      </w:r>
      <w:r>
        <w:rPr>
          <w:color w:val="000000"/>
          <w:shd w:val="clear" w:color="auto" w:fill="FFFFFF"/>
          <w:lang w:val="hy-AM"/>
        </w:rPr>
        <w:t>ի սահմանման գործառույթ։</w:t>
      </w:r>
      <w:r w:rsidRPr="00DC7B2B">
        <w:rPr>
          <w:rFonts w:cs="Times Armenian"/>
          <w:lang w:val="hy-AM"/>
        </w:rPr>
        <w:t xml:space="preserve"> </w:t>
      </w:r>
      <w:r>
        <w:rPr>
          <w:rFonts w:cs="Times Armenian"/>
          <w:lang w:val="hy-AM"/>
        </w:rPr>
        <w:t>Հաշվի առնելով վերոնշյալը</w:t>
      </w:r>
      <w:r w:rsidR="00F42353">
        <w:rPr>
          <w:rFonts w:cs="Arial"/>
          <w:color w:val="000000"/>
          <w:shd w:val="clear" w:color="auto" w:fill="FFFFFF"/>
          <w:lang w:val="hy-AM"/>
        </w:rPr>
        <w:t xml:space="preserve"> մշակվել է</w:t>
      </w:r>
      <w:r w:rsidR="009378BE" w:rsidRPr="00F42353">
        <w:rPr>
          <w:lang w:val="hy-AM"/>
        </w:rPr>
        <w:t xml:space="preserve"> </w:t>
      </w:r>
      <w:r w:rsidR="005F4189" w:rsidRPr="00F42353">
        <w:rPr>
          <w:lang w:val="hy-AM"/>
        </w:rPr>
        <w:t>«</w:t>
      </w:r>
      <w:r w:rsidRPr="00DC7B2B">
        <w:rPr>
          <w:rFonts w:cs="Sylfaen"/>
          <w:b/>
          <w:color w:val="000000"/>
          <w:lang w:val="hy-AM"/>
        </w:rPr>
        <w:t>Էլեկտրոնային հաղորդակցության բնագավառում կարգավորվող անձանց նկատմամբ հսկողության փոխանցումը համաձայնեցնելու կարգը հաստատելու մասին</w:t>
      </w:r>
      <w:r w:rsidR="005F4189" w:rsidRPr="00F42353">
        <w:rPr>
          <w:lang w:val="hy-AM"/>
        </w:rPr>
        <w:t>»</w:t>
      </w:r>
      <w:r w:rsidR="009378BE" w:rsidRPr="00F42353">
        <w:rPr>
          <w:lang w:val="hy-AM"/>
        </w:rPr>
        <w:t xml:space="preserve"> ՀՀ հանրային ծառայությունները կարգավորող հանձնաժողովի որոշման նախագիծը</w:t>
      </w:r>
      <w:r w:rsidR="009378BE" w:rsidRPr="00F42353">
        <w:rPr>
          <w:rFonts w:cs="Sylfaen"/>
          <w:bCs/>
          <w:lang w:val="hy-AM"/>
        </w:rPr>
        <w:t>։</w:t>
      </w:r>
      <w:r w:rsidR="009378BE" w:rsidRPr="00F42353">
        <w:rPr>
          <w:lang w:val="hy-AM"/>
        </w:rPr>
        <w:t xml:space="preserve"> </w:t>
      </w:r>
    </w:p>
    <w:p w:rsidR="00590F08" w:rsidRPr="009378BE" w:rsidRDefault="00590F08" w:rsidP="00590F08">
      <w:pPr>
        <w:spacing w:after="0" w:line="324" w:lineRule="auto"/>
        <w:ind w:firstLine="357"/>
        <w:jc w:val="both"/>
        <w:rPr>
          <w:rFonts w:ascii="GHEA Grapalat" w:hAnsi="GHEA Grapalat"/>
          <w:sz w:val="24"/>
          <w:szCs w:val="24"/>
        </w:rPr>
      </w:pPr>
    </w:p>
    <w:p w:rsidR="009378BE" w:rsidRPr="00E70989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6D3326" w:rsidRDefault="00406276" w:rsidP="00DC7B2B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DD07B7" w:rsidRPr="006D3326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Նախագծով, առաջարկվում է </w:t>
      </w:r>
      <w:r w:rsidR="009378BE" w:rsidRPr="006D3326">
        <w:rPr>
          <w:rFonts w:ascii="GHEA Grapalat" w:hAnsi="GHEA Grapalat"/>
          <w:color w:val="000000"/>
          <w:shd w:val="clear" w:color="auto" w:fill="FFFFFF"/>
          <w:lang w:val="hy-AM"/>
        </w:rPr>
        <w:t>սահմանել</w:t>
      </w:r>
      <w:r w:rsidR="005F4189" w:rsidRPr="006D332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DC7B2B" w:rsidRPr="00246630">
        <w:rPr>
          <w:rFonts w:ascii="GHEA Grapalat" w:hAnsi="GHEA Grapalat"/>
          <w:color w:val="000000"/>
          <w:lang w:val="af-ZA" w:eastAsia="en-US"/>
        </w:rPr>
        <w:t>«</w:t>
      </w:r>
      <w:r w:rsidR="00DC7B2B" w:rsidRPr="00DC7B2B">
        <w:rPr>
          <w:rFonts w:ascii="GHEA Grapalat" w:hAnsi="GHEA Grapalat"/>
          <w:color w:val="000000"/>
          <w:lang w:val="hy-AM" w:eastAsia="en-US"/>
        </w:rPr>
        <w:t>Էլեկտրոնային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հաղորդակցության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մասին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» </w:t>
      </w:r>
      <w:r w:rsidR="00DC7B2B" w:rsidRPr="00DC7B2B">
        <w:rPr>
          <w:rFonts w:ascii="GHEA Grapalat" w:hAnsi="GHEA Grapalat"/>
          <w:color w:val="000000"/>
          <w:lang w:val="hy-AM" w:eastAsia="en-US"/>
        </w:rPr>
        <w:t>օրենքի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համաձայն</w:t>
      </w:r>
      <w:r w:rsidR="00DC7B2B">
        <w:rPr>
          <w:rFonts w:ascii="GHEA Grapalat" w:hAnsi="GHEA Grapalat"/>
          <w:color w:val="000000"/>
          <w:lang w:val="hy-AM" w:eastAsia="en-US"/>
        </w:rPr>
        <w:t>՝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>
        <w:rPr>
          <w:rFonts w:ascii="GHEA Grapalat" w:hAnsi="GHEA Grapalat"/>
          <w:color w:val="000000"/>
          <w:lang w:val="hy-AM" w:eastAsia="en-US"/>
        </w:rPr>
        <w:t>ց</w:t>
      </w:r>
      <w:r w:rsidR="00DC7B2B" w:rsidRPr="00DC7B2B">
        <w:rPr>
          <w:rFonts w:ascii="GHEA Grapalat" w:hAnsi="GHEA Grapalat"/>
          <w:color w:val="000000"/>
          <w:lang w:val="hy-AM" w:eastAsia="en-US"/>
        </w:rPr>
        <w:t>անցի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լիցենզիա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կամ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հանրային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էլեկտրոնային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հաղորդակցության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ծառայություն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մատուցելու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նպատակով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ռադիոհաճախականությունների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օգտագործման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թույլտվություն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ստացած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անձի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>
        <w:rPr>
          <w:rFonts w:ascii="GHEA Grapalat" w:hAnsi="GHEA Grapalat"/>
          <w:color w:val="000000"/>
          <w:lang w:val="af-ZA" w:eastAsia="en-US"/>
        </w:rPr>
        <w:t>(</w:t>
      </w:r>
      <w:r w:rsidR="00DC7B2B">
        <w:rPr>
          <w:rFonts w:ascii="GHEA Grapalat" w:hAnsi="GHEA Grapalat"/>
          <w:color w:val="000000"/>
          <w:lang w:val="hy-AM" w:eastAsia="en-US"/>
        </w:rPr>
        <w:t>այսուհետ՝ կարգավորվող անձ</w:t>
      </w:r>
      <w:r w:rsidR="00DC7B2B">
        <w:rPr>
          <w:rFonts w:ascii="GHEA Grapalat" w:hAnsi="GHEA Grapalat"/>
          <w:color w:val="000000"/>
          <w:lang w:val="af-ZA" w:eastAsia="en-US"/>
        </w:rPr>
        <w:t>)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բաժնեմասի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(</w:t>
      </w:r>
      <w:r w:rsidR="00DC7B2B" w:rsidRPr="00DC7B2B">
        <w:rPr>
          <w:rFonts w:ascii="GHEA Grapalat" w:hAnsi="GHEA Grapalat"/>
          <w:color w:val="000000"/>
          <w:lang w:val="hy-AM" w:eastAsia="en-US"/>
        </w:rPr>
        <w:t>բաժնետոմսի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, </w:t>
      </w:r>
      <w:r w:rsidR="00DC7B2B" w:rsidRPr="00DC7B2B">
        <w:rPr>
          <w:rFonts w:ascii="GHEA Grapalat" w:hAnsi="GHEA Grapalat"/>
          <w:color w:val="000000"/>
          <w:lang w:val="hy-AM" w:eastAsia="en-US"/>
        </w:rPr>
        <w:t>փայի</w:t>
      </w:r>
      <w:r w:rsidR="00DC7B2B" w:rsidRPr="00246630">
        <w:rPr>
          <w:rFonts w:ascii="GHEA Grapalat" w:hAnsi="GHEA Grapalat"/>
          <w:color w:val="000000"/>
          <w:lang w:val="af-ZA" w:eastAsia="en-US"/>
        </w:rPr>
        <w:t>)</w:t>
      </w:r>
      <w:r w:rsidR="00DC7B2B" w:rsidRPr="00303B65">
        <w:rPr>
          <w:rFonts w:ascii="GHEA Grapalat" w:hAnsi="GHEA Grapalat"/>
          <w:color w:val="000000"/>
          <w:lang w:val="af-ZA" w:eastAsia="en-US"/>
        </w:rPr>
        <w:t xml:space="preserve"> </w:t>
      </w:r>
      <w:r w:rsidR="00DC7B2B">
        <w:rPr>
          <w:rFonts w:ascii="GHEA Grapalat" w:hAnsi="GHEA Grapalat"/>
          <w:color w:val="000000"/>
          <w:lang w:val="af-ZA" w:eastAsia="en-US"/>
        </w:rPr>
        <w:t>(</w:t>
      </w:r>
      <w:r w:rsidR="00DC7B2B">
        <w:rPr>
          <w:rFonts w:ascii="GHEA Grapalat" w:hAnsi="GHEA Grapalat"/>
          <w:color w:val="000000"/>
          <w:lang w:val="hy-AM" w:eastAsia="en-US"/>
        </w:rPr>
        <w:t>այսուհետ՝ բաժնեմաս</w:t>
      </w:r>
      <w:r w:rsidR="00DC7B2B">
        <w:rPr>
          <w:rFonts w:ascii="GHEA Grapalat" w:hAnsi="GHEA Grapalat"/>
          <w:color w:val="000000"/>
          <w:lang w:val="af-ZA" w:eastAsia="en-US"/>
        </w:rPr>
        <w:t>)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նկատմամբ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իրավունքի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օտարմ</w:t>
      </w:r>
      <w:r w:rsidR="00DC7B2B">
        <w:rPr>
          <w:rFonts w:ascii="GHEA Grapalat" w:hAnsi="GHEA Grapalat"/>
          <w:color w:val="000000"/>
          <w:lang w:val="hy-AM" w:eastAsia="en-US"/>
        </w:rPr>
        <w:t>ան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, </w:t>
      </w:r>
      <w:r w:rsidR="00DC7B2B" w:rsidRPr="00DC7B2B">
        <w:rPr>
          <w:rFonts w:ascii="GHEA Grapalat" w:hAnsi="GHEA Grapalat"/>
          <w:color w:val="000000"/>
          <w:lang w:val="hy-AM" w:eastAsia="en-US"/>
        </w:rPr>
        <w:t>այլ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կերպ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փոխանցմ</w:t>
      </w:r>
      <w:r w:rsidR="00DC7B2B">
        <w:rPr>
          <w:rFonts w:ascii="GHEA Grapalat" w:hAnsi="GHEA Grapalat"/>
          <w:color w:val="000000"/>
          <w:lang w:val="hy-AM" w:eastAsia="en-US"/>
        </w:rPr>
        <w:t>ան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, </w:t>
      </w:r>
      <w:r w:rsidR="00DC7B2B" w:rsidRPr="00DC7B2B">
        <w:rPr>
          <w:rFonts w:ascii="GHEA Grapalat" w:hAnsi="GHEA Grapalat"/>
          <w:color w:val="000000"/>
          <w:lang w:val="hy-AM" w:eastAsia="en-US"/>
        </w:rPr>
        <w:t>զիջմ</w:t>
      </w:r>
      <w:r w:rsidR="00DC7B2B">
        <w:rPr>
          <w:rFonts w:ascii="GHEA Grapalat" w:hAnsi="GHEA Grapalat"/>
          <w:color w:val="000000"/>
          <w:lang w:val="hy-AM" w:eastAsia="en-US"/>
        </w:rPr>
        <w:t>ան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կամ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գրավադրմ</w:t>
      </w:r>
      <w:r w:rsidR="00DC7B2B">
        <w:rPr>
          <w:rFonts w:ascii="GHEA Grapalat" w:hAnsi="GHEA Grapalat"/>
          <w:color w:val="000000"/>
          <w:lang w:val="hy-AM" w:eastAsia="en-US"/>
        </w:rPr>
        <w:t>ան</w:t>
      </w:r>
      <w:r w:rsidR="00DC7B2B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համաձայնեցման</w:t>
      </w:r>
      <w:r w:rsidR="00DC7B2B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DC7B2B" w:rsidRPr="00DC7B2B">
        <w:rPr>
          <w:rFonts w:ascii="GHEA Grapalat" w:hAnsi="GHEA Grapalat"/>
          <w:color w:val="000000"/>
          <w:lang w:val="hy-AM" w:eastAsia="en-US"/>
        </w:rPr>
        <w:t>կարգը</w:t>
      </w:r>
      <w:r w:rsidR="00DC7B2B" w:rsidRPr="00246630">
        <w:rPr>
          <w:rFonts w:ascii="GHEA Grapalat" w:hAnsi="GHEA Grapalat"/>
          <w:color w:val="000000"/>
          <w:lang w:val="af-ZA" w:eastAsia="en-US"/>
        </w:rPr>
        <w:t>:</w:t>
      </w:r>
    </w:p>
    <w:p w:rsidR="00F21AD0" w:rsidRDefault="00DC7B2B" w:rsidP="006E31B0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ab/>
      </w:r>
      <w:r>
        <w:rPr>
          <w:rFonts w:ascii="GHEA Grapalat" w:hAnsi="GHEA Grapalat"/>
          <w:color w:val="000000"/>
          <w:lang w:val="hy-AM" w:eastAsia="en-US"/>
        </w:rPr>
        <w:tab/>
        <w:t>Մասնավորապես, կ</w:t>
      </w:r>
      <w:r>
        <w:rPr>
          <w:rFonts w:ascii="GHEA Grapalat" w:hAnsi="GHEA Grapalat"/>
          <w:color w:val="000000"/>
          <w:lang w:val="hy-AM" w:eastAsia="en-US"/>
        </w:rPr>
        <w:t xml:space="preserve">արգավորվող </w:t>
      </w:r>
      <w:r w:rsidRPr="00303B65">
        <w:rPr>
          <w:rFonts w:ascii="GHEA Grapalat" w:hAnsi="GHEA Grapalat"/>
          <w:color w:val="000000"/>
          <w:lang w:val="hy-AM" w:eastAsia="en-US"/>
        </w:rPr>
        <w:t>անձի 25 և ավելի տոկոս բաժնեմասի նկատմամբ իրավունքի օտարում, այլ կերպ փոխանցում, զիջում կամ գրավադրում, ինչպես նաև այդ անձի գործունեությունն ուղղակիորեն կամ անուղղակիորեն կանխորոշելու հնարավորություն տ</w:t>
      </w:r>
      <w:r>
        <w:rPr>
          <w:rFonts w:ascii="GHEA Grapalat" w:hAnsi="GHEA Grapalat"/>
          <w:color w:val="000000"/>
          <w:lang w:val="hy-AM" w:eastAsia="en-US"/>
        </w:rPr>
        <w:t>վող բաժնեմասի</w:t>
      </w:r>
      <w:r w:rsidRPr="00303B65">
        <w:rPr>
          <w:rFonts w:ascii="GHEA Grapalat" w:hAnsi="GHEA Grapalat"/>
          <w:color w:val="000000"/>
          <w:lang w:val="hy-AM" w:eastAsia="en-US"/>
        </w:rPr>
        <w:t xml:space="preserve">՝ անկախ քանակից, օտարում, այլ կերպ փոխանցում, զիջում կամ գրավադրում կարող է իրականացվել միայն </w:t>
      </w:r>
      <w:r>
        <w:rPr>
          <w:rFonts w:ascii="GHEA Grapalat" w:hAnsi="GHEA Grapalat"/>
          <w:color w:val="000000"/>
          <w:lang w:val="hy-AM" w:eastAsia="en-US"/>
        </w:rPr>
        <w:t>Հ</w:t>
      </w:r>
      <w:r>
        <w:rPr>
          <w:rFonts w:ascii="GHEA Grapalat" w:hAnsi="GHEA Grapalat"/>
          <w:color w:val="000000"/>
          <w:lang w:val="hy-AM" w:eastAsia="en-US"/>
        </w:rPr>
        <w:t>անձնաժողով</w:t>
      </w:r>
      <w:r>
        <w:rPr>
          <w:rFonts w:ascii="GHEA Grapalat" w:hAnsi="GHEA Grapalat"/>
          <w:color w:val="000000"/>
          <w:lang w:val="af-ZA" w:eastAsia="en-US"/>
        </w:rPr>
        <w:t>ի</w:t>
      </w:r>
      <w:r w:rsidRPr="00303B65">
        <w:rPr>
          <w:rFonts w:ascii="GHEA Grapalat" w:hAnsi="GHEA Grapalat"/>
          <w:color w:val="000000"/>
          <w:lang w:val="hy-AM" w:eastAsia="en-US"/>
        </w:rPr>
        <w:t xml:space="preserve"> համաձայնությունը կարգավորվող անձի կողմից ստանալուց հետո:</w:t>
      </w:r>
    </w:p>
    <w:p w:rsidR="00F21AD0" w:rsidRDefault="00F21AD0" w:rsidP="00F21AD0">
      <w:pPr>
        <w:pStyle w:val="Header"/>
        <w:tabs>
          <w:tab w:val="clear" w:pos="4677"/>
          <w:tab w:val="clear" w:pos="9355"/>
          <w:tab w:val="center" w:pos="567"/>
          <w:tab w:val="right" w:pos="993"/>
        </w:tabs>
        <w:spacing w:line="336" w:lineRule="auto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ab/>
      </w:r>
      <w:r>
        <w:rPr>
          <w:rFonts w:ascii="GHEA Grapalat" w:hAnsi="GHEA Grapalat"/>
          <w:color w:val="000000"/>
          <w:lang w:val="hy-AM" w:eastAsia="en-US"/>
        </w:rPr>
        <w:tab/>
        <w:t>Ընդ որում, կ</w:t>
      </w:r>
      <w:r>
        <w:rPr>
          <w:rFonts w:ascii="GHEA Grapalat" w:hAnsi="GHEA Grapalat"/>
          <w:color w:val="000000"/>
          <w:lang w:val="hy-AM" w:eastAsia="en-US"/>
        </w:rPr>
        <w:t>արգավորվող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անձի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բաժնեմաս</w:t>
      </w:r>
      <w:r>
        <w:rPr>
          <w:rFonts w:ascii="GHEA Grapalat" w:hAnsi="GHEA Grapalat"/>
          <w:color w:val="000000"/>
          <w:lang w:val="hy-AM" w:eastAsia="en-US"/>
        </w:rPr>
        <w:t>ի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նկատմամբ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իրավունքը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ժառանգման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կարգով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փոխանց</w:t>
      </w:r>
      <w:r>
        <w:rPr>
          <w:rFonts w:ascii="GHEA Grapalat" w:hAnsi="GHEA Grapalat"/>
          <w:color w:val="000000"/>
          <w:lang w:val="hy-AM" w:eastAsia="en-US"/>
        </w:rPr>
        <w:t>վ</w:t>
      </w:r>
      <w:r w:rsidRPr="00BB08D1">
        <w:rPr>
          <w:rFonts w:ascii="GHEA Grapalat" w:hAnsi="GHEA Grapalat"/>
          <w:color w:val="000000"/>
          <w:lang w:val="hy-AM" w:eastAsia="en-US"/>
        </w:rPr>
        <w:t>ելու</w:t>
      </w:r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r w:rsidRPr="00BB08D1">
        <w:rPr>
          <w:rFonts w:ascii="GHEA Grapalat" w:hAnsi="GHEA Grapalat"/>
          <w:color w:val="000000"/>
          <w:lang w:val="hy-AM" w:eastAsia="en-US"/>
        </w:rPr>
        <w:t>վերակազմավորման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արդյունքում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իրավահաջորդության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կարգով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անցնելու</w:t>
      </w:r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r w:rsidRPr="00BB08D1">
        <w:rPr>
          <w:rFonts w:ascii="GHEA Grapalat" w:hAnsi="GHEA Grapalat"/>
          <w:color w:val="000000"/>
          <w:lang w:val="hy-AM" w:eastAsia="en-US"/>
        </w:rPr>
        <w:t>գրավադրելու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արդյունքում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փոխանց</w:t>
      </w:r>
      <w:r>
        <w:rPr>
          <w:rFonts w:ascii="GHEA Grapalat" w:hAnsi="GHEA Grapalat"/>
          <w:color w:val="000000"/>
          <w:lang w:val="hy-AM" w:eastAsia="en-US"/>
        </w:rPr>
        <w:t>վ</w:t>
      </w:r>
      <w:r w:rsidRPr="00BB08D1">
        <w:rPr>
          <w:rFonts w:ascii="GHEA Grapalat" w:hAnsi="GHEA Grapalat"/>
          <w:color w:val="000000"/>
          <w:lang w:val="hy-AM" w:eastAsia="en-US"/>
        </w:rPr>
        <w:t>ելու</w:t>
      </w:r>
      <w:r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վերաբերյալ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գործարքները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չեն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BB08D1">
        <w:rPr>
          <w:rFonts w:ascii="GHEA Grapalat" w:hAnsi="GHEA Grapalat"/>
          <w:color w:val="000000"/>
          <w:lang w:val="hy-AM" w:eastAsia="en-US"/>
        </w:rPr>
        <w:t>համարվում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507712">
        <w:rPr>
          <w:rFonts w:ascii="GHEA Grapalat" w:hAnsi="GHEA Grapalat"/>
          <w:color w:val="000000"/>
          <w:lang w:val="hy-AM" w:eastAsia="en-US"/>
        </w:rPr>
        <w:t>սույն</w:t>
      </w:r>
      <w:r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Pr="00507712">
        <w:rPr>
          <w:rFonts w:ascii="GHEA Grapalat" w:hAnsi="GHEA Grapalat"/>
          <w:color w:val="000000"/>
          <w:lang w:val="hy-AM" w:eastAsia="en-US"/>
        </w:rPr>
        <w:t>կարգի</w:t>
      </w:r>
      <w:r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Pr="00507712">
        <w:rPr>
          <w:rFonts w:ascii="GHEA Grapalat" w:hAnsi="GHEA Grapalat"/>
          <w:color w:val="000000"/>
          <w:lang w:val="hy-AM" w:eastAsia="en-US"/>
        </w:rPr>
        <w:t>իմաստով</w:t>
      </w:r>
      <w:r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Pr="00507712">
        <w:rPr>
          <w:rFonts w:ascii="GHEA Grapalat" w:hAnsi="GHEA Grapalat"/>
          <w:color w:val="000000"/>
          <w:lang w:val="hy-AM" w:eastAsia="en-US"/>
        </w:rPr>
        <w:t>գործարք</w:t>
      </w:r>
      <w:r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Pr="00507712">
        <w:rPr>
          <w:rFonts w:ascii="GHEA Grapalat" w:hAnsi="GHEA Grapalat"/>
          <w:color w:val="000000"/>
          <w:lang w:val="hy-AM" w:eastAsia="en-US"/>
        </w:rPr>
        <w:t>և</w:t>
      </w:r>
      <w:r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Pr="00507712">
        <w:rPr>
          <w:rFonts w:ascii="GHEA Grapalat" w:hAnsi="GHEA Grapalat"/>
          <w:color w:val="000000"/>
          <w:lang w:val="hy-AM" w:eastAsia="en-US"/>
        </w:rPr>
        <w:t>համաձայնեցման</w:t>
      </w:r>
      <w:r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Pr="00507712">
        <w:rPr>
          <w:rFonts w:ascii="GHEA Grapalat" w:hAnsi="GHEA Grapalat"/>
          <w:color w:val="000000"/>
          <w:lang w:val="hy-AM" w:eastAsia="en-US"/>
        </w:rPr>
        <w:t>ենթակա</w:t>
      </w:r>
      <w:r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Pr="00507712">
        <w:rPr>
          <w:rFonts w:ascii="GHEA Grapalat" w:hAnsi="GHEA Grapalat"/>
          <w:color w:val="000000"/>
          <w:lang w:val="hy-AM" w:eastAsia="en-US"/>
        </w:rPr>
        <w:t>չեն։</w:t>
      </w:r>
      <w:r>
        <w:rPr>
          <w:rFonts w:ascii="GHEA Grapalat" w:hAnsi="GHEA Grapalat"/>
          <w:color w:val="000000"/>
          <w:lang w:val="hy-AM" w:eastAsia="en-US"/>
        </w:rPr>
        <w:t xml:space="preserve"> </w:t>
      </w:r>
    </w:p>
    <w:p w:rsidR="006E31B0" w:rsidRPr="006E31B0" w:rsidRDefault="006E31B0" w:rsidP="006E31B0">
      <w:pPr>
        <w:pStyle w:val="Header"/>
        <w:tabs>
          <w:tab w:val="clear" w:pos="4677"/>
          <w:tab w:val="clear" w:pos="9355"/>
          <w:tab w:val="center" w:pos="0"/>
        </w:tabs>
        <w:spacing w:line="336" w:lineRule="auto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lastRenderedPageBreak/>
        <w:tab/>
        <w:t xml:space="preserve">Բացի այդ, նախագծով նախատեսվում է սահմանել կարգավորվող անձի կողմից նշված համաձայնեցման գործընթացի շրջանակում </w:t>
      </w:r>
      <w:r w:rsidR="00F21AD0">
        <w:rPr>
          <w:rFonts w:ascii="GHEA Grapalat" w:hAnsi="GHEA Grapalat"/>
          <w:color w:val="000000"/>
          <w:lang w:val="hy-AM" w:eastAsia="en-US"/>
        </w:rPr>
        <w:t>Հանձնաժողով</w:t>
      </w:r>
      <w:r w:rsidR="00F21AD0">
        <w:rPr>
          <w:rFonts w:ascii="GHEA Grapalat" w:hAnsi="GHEA Grapalat"/>
          <w:color w:val="000000"/>
          <w:lang w:val="hy-AM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 xml:space="preserve">հայտի </w:t>
      </w:r>
      <w:r w:rsidR="00F21AD0">
        <w:rPr>
          <w:rFonts w:ascii="GHEA Grapalat" w:hAnsi="GHEA Grapalat"/>
          <w:color w:val="000000"/>
          <w:lang w:val="hy-AM" w:eastAsia="en-US"/>
        </w:rPr>
        <w:t xml:space="preserve">ներկայացման պահանջները, հայտը ներառող փաստաթղթերը և տեղեկությունները, Հանձնաժողովի կողմից հայտի քննարկման </w:t>
      </w:r>
      <w:r w:rsidR="00F21AD0" w:rsidRPr="00F21AD0">
        <w:rPr>
          <w:rFonts w:ascii="GHEA Grapalat" w:hAnsi="GHEA Grapalat"/>
          <w:color w:val="000000"/>
          <w:lang w:val="hy-AM" w:eastAsia="en-US"/>
        </w:rPr>
        <w:t>(</w:t>
      </w:r>
      <w:r w:rsidR="00F21AD0">
        <w:rPr>
          <w:rFonts w:ascii="GHEA Grapalat" w:hAnsi="GHEA Grapalat"/>
          <w:color w:val="000000"/>
          <w:lang w:val="hy-AM" w:eastAsia="en-US"/>
        </w:rPr>
        <w:t xml:space="preserve">ներառյալ </w:t>
      </w:r>
      <w:r w:rsidR="00F21AD0" w:rsidRPr="00F21AD0">
        <w:rPr>
          <w:rFonts w:ascii="GHEA Grapalat" w:hAnsi="GHEA Grapalat"/>
          <w:color w:val="000000"/>
          <w:lang w:val="hy-AM" w:eastAsia="en-US"/>
        </w:rPr>
        <w:t>գործարքի</w:t>
      </w:r>
      <w:r w:rsidR="00F21AD0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F21AD0" w:rsidRPr="00F21AD0">
        <w:rPr>
          <w:rFonts w:ascii="GHEA Grapalat" w:hAnsi="GHEA Grapalat"/>
          <w:color w:val="000000"/>
          <w:lang w:val="hy-AM" w:eastAsia="en-US"/>
        </w:rPr>
        <w:t>կնքմանը</w:t>
      </w:r>
      <w:r w:rsidR="00F21AD0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F21AD0" w:rsidRPr="00F21AD0">
        <w:rPr>
          <w:rFonts w:ascii="GHEA Grapalat" w:hAnsi="GHEA Grapalat"/>
          <w:color w:val="000000"/>
          <w:lang w:val="hy-AM" w:eastAsia="en-US"/>
        </w:rPr>
        <w:t>համաձայնություն</w:t>
      </w:r>
      <w:r w:rsidR="00F21AD0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F21AD0" w:rsidRPr="00F21AD0">
        <w:rPr>
          <w:rFonts w:ascii="GHEA Grapalat" w:hAnsi="GHEA Grapalat"/>
          <w:color w:val="000000"/>
          <w:lang w:val="hy-AM" w:eastAsia="en-US"/>
        </w:rPr>
        <w:t>տալու</w:t>
      </w:r>
      <w:r w:rsidR="00F21AD0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F21AD0" w:rsidRPr="00F21AD0">
        <w:rPr>
          <w:rFonts w:ascii="GHEA Grapalat" w:hAnsi="GHEA Grapalat"/>
          <w:color w:val="000000"/>
          <w:lang w:val="hy-AM" w:eastAsia="en-US"/>
        </w:rPr>
        <w:t>կամ</w:t>
      </w:r>
      <w:r w:rsidR="00F21AD0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F21AD0" w:rsidRPr="00F21AD0">
        <w:rPr>
          <w:rFonts w:ascii="GHEA Grapalat" w:hAnsi="GHEA Grapalat"/>
          <w:color w:val="000000"/>
          <w:lang w:val="hy-AM" w:eastAsia="en-US"/>
        </w:rPr>
        <w:t>համաձայնության</w:t>
      </w:r>
      <w:r w:rsidR="00F21AD0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F21AD0" w:rsidRPr="00F21AD0">
        <w:rPr>
          <w:rFonts w:ascii="GHEA Grapalat" w:hAnsi="GHEA Grapalat"/>
          <w:color w:val="000000"/>
          <w:lang w:val="hy-AM" w:eastAsia="en-US"/>
        </w:rPr>
        <w:t>տրամադրումը</w:t>
      </w:r>
      <w:r w:rsidR="00F21AD0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F21AD0" w:rsidRPr="00F21AD0">
        <w:rPr>
          <w:rFonts w:ascii="GHEA Grapalat" w:hAnsi="GHEA Grapalat"/>
          <w:color w:val="000000"/>
          <w:lang w:val="hy-AM" w:eastAsia="en-US"/>
        </w:rPr>
        <w:t>մերժելու</w:t>
      </w:r>
      <w:r w:rsidR="00F21AD0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F21AD0" w:rsidRPr="00F21AD0">
        <w:rPr>
          <w:rFonts w:ascii="GHEA Grapalat" w:hAnsi="GHEA Grapalat"/>
          <w:color w:val="000000"/>
          <w:lang w:val="hy-AM" w:eastAsia="en-US"/>
        </w:rPr>
        <w:t>մասին</w:t>
      </w:r>
      <w:r w:rsidR="00F21AD0" w:rsidRPr="00F21AD0">
        <w:rPr>
          <w:rFonts w:ascii="GHEA Grapalat" w:hAnsi="GHEA Grapalat"/>
          <w:color w:val="000000"/>
          <w:lang w:val="hy-AM" w:eastAsia="en-US"/>
        </w:rPr>
        <w:t>)</w:t>
      </w:r>
      <w:r w:rsidR="00F21AD0">
        <w:rPr>
          <w:rFonts w:ascii="GHEA Grapalat" w:hAnsi="GHEA Grapalat"/>
          <w:color w:val="000000"/>
          <w:lang w:val="hy-AM" w:eastAsia="en-US"/>
        </w:rPr>
        <w:t xml:space="preserve">, այդ թվում՝ «Էլեկտրոնային հաղորդակցության մասին» օրենքի 14-րդ հոդվածի համաձայն՝ </w:t>
      </w:r>
      <w:r w:rsidR="00F21AD0">
        <w:rPr>
          <w:rFonts w:ascii="GHEA Grapalat" w:hAnsi="GHEA Grapalat"/>
          <w:color w:val="000000"/>
          <w:lang w:val="hy-AM" w:eastAsia="en-US"/>
        </w:rPr>
        <w:t>էլեկտրոնային հաղորդա</w:t>
      </w:r>
      <w:r w:rsidR="00F21AD0">
        <w:rPr>
          <w:rFonts w:ascii="GHEA Grapalat" w:hAnsi="GHEA Grapalat"/>
          <w:color w:val="000000"/>
          <w:lang w:val="hy-AM" w:eastAsia="en-US"/>
        </w:rPr>
        <w:t xml:space="preserve">կցության ոլորտի իրավասու մարմնի հետ կարգավորվող անձի նկատմամբ հսկողության փոխանցման համաձայնությունը նախապես համաձայնեցնելու ընթացակարգերը։  </w:t>
      </w:r>
      <w:r>
        <w:rPr>
          <w:rFonts w:ascii="GHEA Grapalat" w:hAnsi="GHEA Grapalat"/>
          <w:color w:val="000000"/>
          <w:lang w:val="hy-AM" w:eastAsia="en-US"/>
        </w:rPr>
        <w:t xml:space="preserve"> </w:t>
      </w:r>
    </w:p>
    <w:p w:rsid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4958A3" w:rsidRDefault="00406276" w:rsidP="00406276">
      <w:pPr>
        <w:tabs>
          <w:tab w:val="left" w:pos="709"/>
        </w:tabs>
        <w:spacing w:line="324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ab/>
      </w:r>
      <w:r w:rsidR="00590F08" w:rsidRPr="00406276">
        <w:rPr>
          <w:rFonts w:ascii="GHEA Grapalat" w:hAnsi="GHEA Grapalat"/>
          <w:sz w:val="24"/>
          <w:szCs w:val="24"/>
        </w:rPr>
        <w:t>Նախագծ</w:t>
      </w:r>
      <w:r w:rsidR="00D675B4" w:rsidRPr="00406276">
        <w:rPr>
          <w:rFonts w:ascii="GHEA Grapalat" w:hAnsi="GHEA Grapalat"/>
          <w:sz w:val="24"/>
          <w:szCs w:val="24"/>
        </w:rPr>
        <w:t xml:space="preserve">ի ընդունմամբ </w:t>
      </w:r>
      <w:r w:rsidR="004958A3">
        <w:rPr>
          <w:rFonts w:ascii="GHEA Grapalat" w:hAnsi="GHEA Grapalat"/>
          <w:sz w:val="24"/>
          <w:szCs w:val="24"/>
        </w:rPr>
        <w:t>կսահմանվի է</w:t>
      </w:r>
      <w:r w:rsidR="004958A3" w:rsidRPr="004958A3">
        <w:rPr>
          <w:rFonts w:ascii="GHEA Grapalat" w:hAnsi="GHEA Grapalat"/>
          <w:sz w:val="24"/>
          <w:szCs w:val="24"/>
        </w:rPr>
        <w:t>լեկտրոնային հաղորդակցության բնագավառում կարգավորվող անձանց նկատմամբ հսկողության փոխանցումը համաձայնեցնելու կարգը</w:t>
      </w:r>
      <w:bookmarkStart w:id="0" w:name="_GoBack"/>
      <w:bookmarkEnd w:id="0"/>
      <w:r w:rsidR="00590F08" w:rsidRPr="00590F08">
        <w:rPr>
          <w:rFonts w:ascii="GHEA Grapalat" w:hAnsi="GHEA Grapalat"/>
          <w:sz w:val="24"/>
          <w:szCs w:val="24"/>
        </w:rPr>
        <w:t>։</w:t>
      </w:r>
      <w:r w:rsidR="00590F08" w:rsidRPr="004958A3">
        <w:rPr>
          <w:rFonts w:ascii="GHEA Grapalat" w:hAnsi="GHEA Grapalat"/>
          <w:sz w:val="24"/>
          <w:szCs w:val="24"/>
        </w:rPr>
        <w:t xml:space="preserve">   </w:t>
      </w:r>
    </w:p>
    <w:sectPr w:rsidR="00D62528" w:rsidRPr="004958A3" w:rsidSect="00F21AD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90FEE"/>
    <w:rsid w:val="000A5367"/>
    <w:rsid w:val="000C0256"/>
    <w:rsid w:val="000C2CFD"/>
    <w:rsid w:val="000E446F"/>
    <w:rsid w:val="00125FBC"/>
    <w:rsid w:val="001B6379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06276"/>
    <w:rsid w:val="00426B6C"/>
    <w:rsid w:val="00463D80"/>
    <w:rsid w:val="004958A3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D3326"/>
    <w:rsid w:val="006E31B0"/>
    <w:rsid w:val="006F4DCC"/>
    <w:rsid w:val="00717198"/>
    <w:rsid w:val="00731F3C"/>
    <w:rsid w:val="00821364"/>
    <w:rsid w:val="00836D74"/>
    <w:rsid w:val="008918DC"/>
    <w:rsid w:val="008F01C7"/>
    <w:rsid w:val="008F4CAF"/>
    <w:rsid w:val="009378BE"/>
    <w:rsid w:val="009879D7"/>
    <w:rsid w:val="009A2C75"/>
    <w:rsid w:val="009B0E13"/>
    <w:rsid w:val="00A268ED"/>
    <w:rsid w:val="00A42D21"/>
    <w:rsid w:val="00A758D8"/>
    <w:rsid w:val="00AA7E50"/>
    <w:rsid w:val="00B266AE"/>
    <w:rsid w:val="00B34C5C"/>
    <w:rsid w:val="00B40F59"/>
    <w:rsid w:val="00B875DD"/>
    <w:rsid w:val="00BE094B"/>
    <w:rsid w:val="00C75761"/>
    <w:rsid w:val="00D202CE"/>
    <w:rsid w:val="00D62528"/>
    <w:rsid w:val="00D675B4"/>
    <w:rsid w:val="00D91A0F"/>
    <w:rsid w:val="00DC7B2B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21AD0"/>
    <w:rsid w:val="00F42353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7CF6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54</cp:revision>
  <cp:lastPrinted>2021-08-05T10:08:00Z</cp:lastPrinted>
  <dcterms:created xsi:type="dcterms:W3CDTF">2017-11-07T05:41:00Z</dcterms:created>
  <dcterms:modified xsi:type="dcterms:W3CDTF">2022-01-11T06:29:00Z</dcterms:modified>
</cp:coreProperties>
</file>