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9440" w14:textId="77777777" w:rsidR="00B40350" w:rsidRPr="00F31FF9" w:rsidRDefault="00B40350" w:rsidP="00FD1C0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1FF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ԱՄՓՈՓԱԹԵՐԹ</w:t>
      </w:r>
    </w:p>
    <w:p w14:paraId="728C2FC4" w14:textId="7312D445" w:rsidR="00B40350" w:rsidRPr="00F31FF9" w:rsidRDefault="0041770A" w:rsidP="00FD1C0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F1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BF10F2" w:rsidRPr="00BF1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ՀԱՅԱՍՏԱՆԻ ՀԱՆՐԱՊԵՏՈՒԹՅԱՆ ՏԱՐԱԾՔ ՆԵՐՄՈՒԾՎՈՂ ԹՌՉՆԱՄՍԻ ՆԿԱՏՄԱՄԲ ՍԱԿԱԳՆԱՅԻՆ ՔՎՈՏԱ ԿԻՐԱՌԵԼՈՒ ՄԱՍԻՆ</w:t>
      </w:r>
      <w:r w:rsidR="00F31FF9" w:rsidRPr="00BF1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BF1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40350" w:rsidRPr="00F31FF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ՀՀ ԿԱՌԱՎԱՐՈՒԹՅԱՆ ՈՐՈՇՄԱՆ ՆԱԽԱԳԾԻ</w:t>
      </w:r>
    </w:p>
    <w:p w14:paraId="29C09212" w14:textId="77777777" w:rsidR="00826000" w:rsidRPr="00F31FF9" w:rsidRDefault="00826000" w:rsidP="00FD1C0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14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4785"/>
        <w:gridCol w:w="2335"/>
      </w:tblGrid>
      <w:tr w:rsidR="00C62CEA" w:rsidRPr="00F31FF9" w14:paraId="31D983F2" w14:textId="77777777" w:rsidTr="00D93065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6A8DFB1A" w14:textId="1DCA4899" w:rsidR="00C62CEA" w:rsidRPr="00F31FF9" w:rsidRDefault="00C62CEA" w:rsidP="00FD1C0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</w:t>
            </w:r>
            <w:r w:rsidR="0041770A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մրցակցության պաշտպանության հանձնաժողով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63E70C8E" w14:textId="626D3C37" w:rsidR="00C62CEA" w:rsidRPr="00F31FF9" w:rsidRDefault="00D042B5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.11.</w:t>
            </w:r>
            <w:r w:rsidR="00C62CEA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2021թ.</w:t>
            </w:r>
          </w:p>
        </w:tc>
      </w:tr>
      <w:tr w:rsidR="00C62CEA" w:rsidRPr="00F31FF9" w14:paraId="53D17AF0" w14:textId="77777777" w:rsidTr="00D93065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DF7327B" w14:textId="77777777" w:rsidR="00C62CEA" w:rsidRPr="00F31FF9" w:rsidRDefault="00C62CEA" w:rsidP="00FD1C0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F589179" w14:textId="79A23497" w:rsidR="00C62CEA" w:rsidRPr="00F31FF9" w:rsidRDefault="00C62CEA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D042B5" w:rsidRPr="00D042B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ԳԳ/2883-2021</w:t>
            </w:r>
          </w:p>
        </w:tc>
      </w:tr>
      <w:tr w:rsidR="00357919" w:rsidRPr="00D042B5" w14:paraId="3A43650D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A3303D" w14:textId="07A7C11F" w:rsidR="00D87320" w:rsidRPr="007B2EB0" w:rsidRDefault="00D87320" w:rsidP="00FD1C0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112" w:right="231" w:firstLine="0"/>
              <w:jc w:val="both"/>
              <w:rPr>
                <w:rFonts w:ascii="GHEA Grapalat" w:hAnsi="GHEA Grapalat"/>
                <w:lang w:val="hy-AM"/>
              </w:rPr>
            </w:pPr>
            <w:r w:rsidRPr="007B2EB0">
              <w:rPr>
                <w:rFonts w:ascii="GHEA Grapalat" w:hAnsi="GHEA Grapalat"/>
                <w:lang w:val="hy-AM"/>
              </w:rPr>
              <w:t>2021 թվականի համար Հայաստանի Հանրապետությանը տրամադրվել է 44,000 հազար տոննա ծավալով թռչնամսի քվոտա, որը հաշվարկվել է նախորդ երեք տարիների միջին ցուցանիշների համաձայն։</w:t>
            </w:r>
          </w:p>
          <w:p w14:paraId="077E684F" w14:textId="77777777" w:rsidR="00D87320" w:rsidRPr="00D87320" w:rsidRDefault="00D87320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320">
              <w:rPr>
                <w:rFonts w:ascii="GHEA Grapalat" w:hAnsi="GHEA Grapalat"/>
                <w:sz w:val="24"/>
                <w:szCs w:val="24"/>
                <w:lang w:val="hy-AM"/>
              </w:rPr>
              <w:t>Էկոնոմիկայի նախարարության 2021 թվականի հուլիսի 2-ի թիվ 01/9744-2021 գրությամբ  Հանձնաժողով ներկայացված տվյալների համաձայն՝ բաշխվել է 36,695 հազ տոննա թռչնամսի քվոտա, իսկ հետագայում ներկայացված տեղեկատվության համաձայն՝ բաշխվել է ամբողջ 44,000 հազար տոննա քվոտան։</w:t>
            </w:r>
          </w:p>
          <w:p w14:paraId="17745181" w14:textId="77777777" w:rsidR="00D87320" w:rsidRPr="00D87320" w:rsidRDefault="00D87320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32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Պետական եկամուտների կոմիտեի տվյալների համաձայն՝ 2021 թվականի հունվար-հոկտեմբեր ժամանակահատվածի դրությամբ ՀՀ ներմուծվել է 30,815 հազ տոննա թռչնամիս։</w:t>
            </w:r>
          </w:p>
          <w:p w14:paraId="64677B2E" w14:textId="77777777" w:rsidR="00D87320" w:rsidRPr="00D87320" w:rsidRDefault="00D87320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320">
              <w:rPr>
                <w:rFonts w:ascii="GHEA Grapalat" w:hAnsi="GHEA Grapalat"/>
                <w:sz w:val="24"/>
                <w:szCs w:val="24"/>
                <w:lang w:val="hy-AM"/>
              </w:rPr>
              <w:t>Ընդ որում 2021 թվականի  հունվար-հոկտեմբեր ժամանակահատվածի դրությամբ այն երկրներից ներմուծումները, որոնց նկատմամբ քվոտայի կիրառվում չի իրականացվում կազմել է՝  Ուկրաինայից – 13,412 հազար տոննա (44 տոկոս),  ՌԴ-ից – 5,452 հազար տոննա (18 տոկոս), Բելառուսից – 196 հազ տոննա:</w:t>
            </w:r>
          </w:p>
          <w:p w14:paraId="70ED9230" w14:textId="4427FBBB" w:rsidR="00D87320" w:rsidRPr="00D87320" w:rsidRDefault="00D87320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7320">
              <w:rPr>
                <w:rFonts w:ascii="GHEA Grapalat" w:hAnsi="GHEA Grapalat"/>
                <w:sz w:val="24"/>
                <w:szCs w:val="24"/>
                <w:lang w:val="hy-AM"/>
              </w:rPr>
              <w:t>Այսինքն</w:t>
            </w:r>
            <w:r w:rsidR="003C5DEB" w:rsidRPr="003C5DEB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Pr="00D87320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քվոտավորված ներմուծման ծավալը 2021 թվականի հունվար-հոկտեմբեր ժամանակահատվածի դրությամբ կազմել է 11,754 հազար տոննա (38 տոկոս), մնացած 19,061 հազար տոննայի (62 տոկոս) նկատմամբ քվոտա չի կիրառվել: </w:t>
            </w:r>
          </w:p>
          <w:p w14:paraId="650E2CA7" w14:textId="1DCB5931" w:rsidR="00D87320" w:rsidRDefault="00D87320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87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Փաստացի 2021 թվականի համար տրամադրված քվոտայի ամբողջ 44,000 հազար տոննա ծավալից 2021 թվականի հոկտեմբերի դրությամբ կիրառվել է միայն 11,754 հազար տոննան։</w:t>
            </w:r>
          </w:p>
          <w:p w14:paraId="5C197F04" w14:textId="77777777" w:rsidR="00D87320" w:rsidRPr="000E2280" w:rsidRDefault="00D87320" w:rsidP="00FD1C08">
            <w:pPr>
              <w:shd w:val="clear" w:color="auto" w:fill="FEFEFE"/>
              <w:spacing w:after="0" w:line="360" w:lineRule="auto"/>
              <w:ind w:left="112" w:right="231" w:firstLine="567"/>
              <w:jc w:val="both"/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</w:pPr>
            <w:r w:rsidRPr="000E2280"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lastRenderedPageBreak/>
              <w:t xml:space="preserve">Այսպիսով, անդրադառնալով Նախագծում 2022 թվականի համար նախանշված 30000 տոննա քվոտայի կիրառմանը՝ </w:t>
            </w:r>
            <w:r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>Մրցակցության պաշտպանության հանձնաժողով</w:t>
            </w:r>
            <w:r w:rsidRPr="00766C30"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>այսուհետ՝ Հանձնաժողով</w:t>
            </w:r>
            <w:r w:rsidRPr="00766C30"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 xml:space="preserve"> </w:t>
            </w:r>
            <w:r w:rsidRPr="000E2280"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 xml:space="preserve">անհրաժեշտ է համարում հաշվի առնել այն փաստը, որ </w:t>
            </w:r>
            <w:r w:rsidRPr="000E2280">
              <w:rPr>
                <w:rFonts w:ascii="GHEA Grapalat" w:eastAsia="Times New Roman" w:hAnsi="GHEA Grapalat" w:cs="Segoe UI"/>
                <w:b/>
                <w:color w:val="0A0A0A"/>
                <w:sz w:val="24"/>
                <w:szCs w:val="24"/>
                <w:lang w:val="hy-AM"/>
              </w:rPr>
              <w:t>2021 թվականի համար բաշխված քվոտայի ամբողջ ծավալով ներմուծում չի իրականացվել:</w:t>
            </w:r>
          </w:p>
          <w:p w14:paraId="7B988C8A" w14:textId="77777777" w:rsidR="00D87320" w:rsidRPr="000E2280" w:rsidRDefault="00D87320" w:rsidP="00FD1C08">
            <w:pPr>
              <w:shd w:val="clear" w:color="auto" w:fill="FEFEFE"/>
              <w:spacing w:after="0" w:line="360" w:lineRule="auto"/>
              <w:ind w:left="112" w:right="231" w:firstLine="567"/>
              <w:jc w:val="both"/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</w:pPr>
            <w:r w:rsidRPr="000E2280"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 xml:space="preserve">Վերոշարադրյալի հաշվառմամբ՝ </w:t>
            </w:r>
            <w:r w:rsidRPr="000E2280">
              <w:rPr>
                <w:rFonts w:ascii="GHEA Grapalat" w:eastAsia="Times New Roman" w:hAnsi="GHEA Grapalat" w:cs="Segoe UI"/>
                <w:b/>
                <w:color w:val="0A0A0A"/>
                <w:sz w:val="24"/>
                <w:szCs w:val="24"/>
                <w:lang w:val="hy-AM"/>
              </w:rPr>
              <w:t>Հանձնաժողովն առաջարկում է քննարկման առարկա դարձնել քվոտայի ծավալների վերահաշվարկման հարցը</w:t>
            </w:r>
            <w:r w:rsidRPr="000E2280"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  <w:t>՝ հաշվի առնելով ՀՀ-ում հավի մսի արտադրության պոտենցիալ հնարավորությունը ևս։</w:t>
            </w:r>
          </w:p>
          <w:p w14:paraId="26548D2F" w14:textId="77777777" w:rsidR="00D87320" w:rsidRPr="000E2280" w:rsidRDefault="00D87320" w:rsidP="00FD1C08">
            <w:pPr>
              <w:shd w:val="clear" w:color="auto" w:fill="FEFEFE"/>
              <w:spacing w:after="0" w:line="360" w:lineRule="auto"/>
              <w:ind w:firstLine="567"/>
              <w:jc w:val="both"/>
              <w:rPr>
                <w:rFonts w:ascii="GHEA Grapalat" w:eastAsia="Times New Roman" w:hAnsi="GHEA Grapalat" w:cs="Segoe UI"/>
                <w:color w:val="0A0A0A"/>
                <w:sz w:val="24"/>
                <w:szCs w:val="24"/>
                <w:lang w:val="hy-AM"/>
              </w:rPr>
            </w:pPr>
          </w:p>
          <w:p w14:paraId="1D297FD3" w14:textId="77777777" w:rsidR="00D87320" w:rsidRPr="00D87320" w:rsidRDefault="00D87320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F5BEBE7" w14:textId="4639BADF" w:rsidR="00357919" w:rsidRPr="00F31FF9" w:rsidRDefault="00357919" w:rsidP="00FD1C08">
            <w:pPr>
              <w:spacing w:after="0" w:line="360" w:lineRule="auto"/>
              <w:ind w:left="112" w:right="231" w:firstLine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342513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374B0C5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0AD5482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80C71F6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A1BDDFC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18EDB67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9579854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65A3511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AA9CB85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3E34F4E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7E0F20A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C27806D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217C0B0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848F8D7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D09E4B1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4149925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77BC0A7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53A3F52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90AD36F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3AF7688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F9842DE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7751246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060695B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827C459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21A4664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102E0BD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FC061DC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09FF0FE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0BB9212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623AC40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6A19300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D21A6F4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BE047E4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6A3414E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E693749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23728FD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5BE7B44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31280EE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672C6FF" w14:textId="77777777" w:rsidR="007B2EB0" w:rsidRDefault="007B2EB0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Չի ընդունվել</w:t>
            </w:r>
          </w:p>
          <w:p w14:paraId="2D41B76C" w14:textId="77777777" w:rsidR="00357919" w:rsidRDefault="007B2EB0" w:rsidP="00FD1C08">
            <w:pPr>
              <w:spacing w:after="0" w:line="360" w:lineRule="auto"/>
              <w:ind w:left="168" w:right="1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B2EB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նախագծում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ներառված թռչնամսի քվոտայի ծավալն արդեն իսկ 14</w:t>
            </w:r>
            <w:r w:rsidRPr="007B2EB0">
              <w:rPr>
                <w:rFonts w:ascii="GHEA Grapalat" w:hAnsi="GHEA Grapalat"/>
                <w:sz w:val="24"/>
                <w:szCs w:val="24"/>
                <w:lang w:val="hy-AM"/>
              </w:rPr>
              <w:t xml:space="preserve">.0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հազ</w:t>
            </w:r>
            <w:r w:rsidRPr="007B2EB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տոննայով պակաս է, քան</w:t>
            </w:r>
            <w:r w:rsidRPr="00801B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Եվրասիական տնտեսական հանձնաժողովի Կոլեգիայի 202</w:t>
            </w:r>
            <w:r w:rsidRPr="002940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801B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թվականի օգոստոսի 1</w:t>
            </w:r>
            <w:r w:rsidRPr="002940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-ի N 102 որոշմամբ Հայաստանի Հանրապետությանը հատկացված ծավալը, ինչը պայմանավորված է տեղական թռչնամսի արտադրության հնարավոր ներուժի հաշվառման նկատառումներով։</w:t>
            </w:r>
          </w:p>
          <w:p w14:paraId="5794D0D3" w14:textId="6208DFF6" w:rsidR="007B2EB0" w:rsidRDefault="007B2EB0" w:rsidP="00FD1C08">
            <w:pPr>
              <w:spacing w:after="0" w:line="360" w:lineRule="auto"/>
              <w:ind w:left="168" w:right="1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Ինչ վերաբերում է Մրցակցության հանձնաժողովի կողմից ներկայացված՝ տրամադրված քվոտայի շրջանակներում 2021 թվականի հունվար – հոկտեմբեր ամիսներին ներմուծված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թռչնամսի ծավալների </w:t>
            </w:r>
            <w:r w:rsidR="001B68E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վերաբերյալ վիճակագրական տեղեկատվությանը, հայտնում ենք, որ ՀՀ էկոնոմիկայի նախարարությունում կայացած թռչնամիս ներկրող տնտեսվարող սուբյեկտների հետ մի շարք հանդիպումների արդյունքում պարզաբանվել է, որ վերջիններիս համա</w:t>
            </w:r>
            <w:r w:rsidR="003C5D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ճ</w:t>
            </w:r>
            <w:r w:rsidR="001B68E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արակային իրավիճակով պայմանավորված ունեցել են ապրանքների փոխադրման հետ կապված խնդիրներ, որի արդյունքում ներմուծման գործընթացը պահա</w:t>
            </w:r>
            <w:r w:rsidR="003C5D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="001B68E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ջել է մոտ 2-4 ամիս՝ կախված ապրանքների տեղափոխման հեռավորությունից։</w:t>
            </w:r>
          </w:p>
          <w:p w14:paraId="0475E79F" w14:textId="18B3CE44" w:rsidR="001B68E6" w:rsidRPr="00F31FF9" w:rsidRDefault="001B68E6" w:rsidP="00FD1C08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Հաշվի առնելով վերոգրյալը՝ 2021 թվականի հունվար – հոկտեմբերի ամիսների շրջանակներում ներկրման ծավալների վերլուծությունը չի կարող լիարժեք պատկերացում տալ թռչնամսի քվոտայի բաշխման արդյունավետության վերաբերյալ, և վերջինս հնարավոր կլինի լիարժեք գնահատել տարեկան արդյունքների ամփոփումից հետո։</w:t>
            </w:r>
          </w:p>
        </w:tc>
      </w:tr>
      <w:tr w:rsidR="000323F8" w:rsidRPr="00D042B5" w14:paraId="399E8351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675C91" w14:textId="77777777" w:rsidR="00FD1C08" w:rsidRDefault="00FD1C08" w:rsidP="00FD1C08">
            <w:pPr>
              <w:pStyle w:val="ListParagraph"/>
              <w:numPr>
                <w:ilvl w:val="0"/>
                <w:numId w:val="15"/>
              </w:numPr>
              <w:shd w:val="clear" w:color="auto" w:fill="FEFEFE"/>
              <w:tabs>
                <w:tab w:val="left" w:pos="993"/>
              </w:tabs>
              <w:spacing w:line="360" w:lineRule="auto"/>
              <w:ind w:left="254" w:right="231" w:hanging="502"/>
              <w:jc w:val="both"/>
              <w:rPr>
                <w:rFonts w:ascii="GHEA Grapalat" w:hAnsi="GHEA Grapalat" w:cs="Segoe UI"/>
                <w:color w:val="0A0A0A"/>
                <w:lang w:val="hy-AM"/>
              </w:rPr>
            </w:pPr>
          </w:p>
          <w:p w14:paraId="0C380D9E" w14:textId="77777777" w:rsidR="00FD1C08" w:rsidRDefault="00FD1C08" w:rsidP="00FD1C08">
            <w:pPr>
              <w:pStyle w:val="ListParagraph"/>
              <w:numPr>
                <w:ilvl w:val="0"/>
                <w:numId w:val="15"/>
              </w:numPr>
              <w:shd w:val="clear" w:color="auto" w:fill="FEFEFE"/>
              <w:tabs>
                <w:tab w:val="left" w:pos="993"/>
              </w:tabs>
              <w:spacing w:line="360" w:lineRule="auto"/>
              <w:ind w:left="254" w:right="231" w:hanging="502"/>
              <w:jc w:val="both"/>
              <w:rPr>
                <w:rFonts w:ascii="GHEA Grapalat" w:hAnsi="GHEA Grapalat" w:cs="Segoe UI"/>
                <w:color w:val="0A0A0A"/>
                <w:lang w:val="hy-AM"/>
              </w:rPr>
            </w:pPr>
          </w:p>
          <w:p w14:paraId="3CB5EAF5" w14:textId="2154CF6D" w:rsidR="000323F8" w:rsidRPr="000323F8" w:rsidRDefault="000323F8" w:rsidP="00FD1C08">
            <w:pPr>
              <w:pStyle w:val="ListParagraph"/>
              <w:numPr>
                <w:ilvl w:val="0"/>
                <w:numId w:val="15"/>
              </w:numPr>
              <w:shd w:val="clear" w:color="auto" w:fill="FEFEFE"/>
              <w:tabs>
                <w:tab w:val="left" w:pos="993"/>
              </w:tabs>
              <w:spacing w:line="360" w:lineRule="auto"/>
              <w:ind w:left="254" w:right="231" w:hanging="502"/>
              <w:jc w:val="both"/>
              <w:rPr>
                <w:rFonts w:ascii="GHEA Grapalat" w:hAnsi="GHEA Grapalat" w:cs="Segoe UI"/>
                <w:color w:val="0A0A0A"/>
                <w:lang w:val="hy-AM"/>
              </w:rPr>
            </w:pPr>
            <w:r w:rsidRPr="000323F8">
              <w:rPr>
                <w:rFonts w:ascii="GHEA Grapalat" w:hAnsi="GHEA Grapalat" w:cs="Segoe UI"/>
                <w:color w:val="0A0A0A"/>
                <w:lang w:val="hy-AM"/>
              </w:rPr>
              <w:t>2. Ն</w:t>
            </w:r>
            <w:r w:rsidRPr="000323F8">
              <w:rPr>
                <w:rFonts w:ascii="GHEA Grapalat" w:hAnsi="GHEA Grapalat" w:cs="Sylfaen"/>
                <w:lang w:val="hy-AM"/>
              </w:rPr>
              <w:t>ախագծի 3-րդ կետի 1-ին ենթակետով հաստատված Հավելված 2-ի՝ «</w:t>
            </w:r>
            <w:r w:rsidRPr="000323F8">
              <w:rPr>
                <w:rFonts w:ascii="GHEA Grapalat" w:hAnsi="GHEA Grapalat"/>
                <w:color w:val="000000"/>
                <w:lang w:val="hy-AM"/>
              </w:rPr>
              <w:t>Արտաքին տնտեսական գործունեության մասնակիցների միջև թռչնամսի՝ Հայաստանի Հանրապետություն ներմուծման թույլատրելի ծավալի բաշխման» կարգի (այսուհե</w:t>
            </w:r>
            <w:r w:rsidR="003C5DEB">
              <w:rPr>
                <w:rFonts w:ascii="GHEA Grapalat" w:hAnsi="GHEA Grapalat"/>
                <w:color w:val="000000"/>
                <w:lang w:val="hy-AM"/>
              </w:rPr>
              <w:t>տ</w:t>
            </w:r>
            <w:r w:rsidRPr="000323F8">
              <w:rPr>
                <w:rFonts w:ascii="GHEA Grapalat" w:hAnsi="GHEA Grapalat"/>
                <w:color w:val="000000"/>
                <w:lang w:val="hy-AM"/>
              </w:rPr>
              <w:t>՝ Կարգ) վերաբերյալ հայտնում ենք հետևյալը.</w:t>
            </w:r>
          </w:p>
          <w:p w14:paraId="2A03911F" w14:textId="77777777" w:rsidR="000323F8" w:rsidRPr="0030415A" w:rsidRDefault="000323F8" w:rsidP="00FD1C08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  <w:tab w:val="left" w:pos="993"/>
              </w:tabs>
              <w:spacing w:line="360" w:lineRule="auto"/>
              <w:ind w:left="254" w:right="231" w:firstLine="567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30415A">
              <w:rPr>
                <w:rFonts w:ascii="GHEA Grapalat" w:hAnsi="GHEA Grapalat"/>
                <w:color w:val="000000"/>
                <w:lang w:val="hy-AM"/>
              </w:rPr>
              <w:t>Կարգի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9-րդ կետի համաձայն՝</w:t>
            </w:r>
            <w:r w:rsidRPr="00766C3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66C30">
              <w:rPr>
                <w:rFonts w:ascii="GHEA Grapalat" w:hAnsi="GHEA Grapalat"/>
                <w:i/>
                <w:color w:val="000000"/>
                <w:lang w:val="hy-AM"/>
              </w:rPr>
              <w:t>պատմական գնորդները լիազոր մարմին են ներկայացնում իրենց դիմում-հայտերը, որոնցում խնդրարկված ներմուծվելիք ապրանքի քանակը չպետք է գերազանցի հաշվետու ժամանակաշրջանում յուրաքանչյուրի կողմից ներմուծված ապրանքի միջին ծավալը:</w:t>
            </w:r>
          </w:p>
          <w:p w14:paraId="65E31D1D" w14:textId="77777777" w:rsidR="000323F8" w:rsidRPr="0030415A" w:rsidRDefault="000323F8" w:rsidP="00FD1C08">
            <w:pPr>
              <w:tabs>
                <w:tab w:val="left" w:pos="450"/>
                <w:tab w:val="left" w:pos="993"/>
              </w:tabs>
              <w:spacing w:after="0" w:line="360" w:lineRule="auto"/>
              <w:ind w:left="254" w:right="231" w:firstLine="567"/>
              <w:jc w:val="both"/>
              <w:rPr>
                <w:rFonts w:ascii="GHEA Grapalat" w:eastAsia="Times New Roman" w:hAnsi="GHEA Grapalat" w:cs="Sylfaen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Կարգի</w:t>
            </w:r>
            <w:r w:rsidRPr="0030415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10-րդ կետով սահմանված է, որ </w:t>
            </w:r>
            <w:r w:rsidRPr="0030415A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lang w:val="hy-AM"/>
              </w:rPr>
              <w:t>պ</w:t>
            </w:r>
            <w:r w:rsidRPr="0030415A">
              <w:rPr>
                <w:rFonts w:ascii="GHEA Grapalat" w:eastAsia="Times New Roman" w:hAnsi="GHEA Grapalat" w:cs="Sylfaen"/>
                <w:i/>
                <w:sz w:val="24"/>
                <w:szCs w:val="24"/>
                <w:lang w:val="hy-AM"/>
              </w:rPr>
              <w:t xml:space="preserve">ատմական գնորդների միջև ներմուծման թույլատրելի ծավալի բաշխումից հետո մնացորդի առկայության դեպքում, լիազոր մարմնի կողմից 3 աշխատանքային օրվա ընթացքում այն պատմական գնորդներին, որոնք ստացել են նախնական </w:t>
            </w:r>
            <w:r w:rsidRPr="0030415A">
              <w:rPr>
                <w:rFonts w:ascii="GHEA Grapalat" w:eastAsia="Times New Roman" w:hAnsi="GHEA Grapalat" w:cs="Sylfaen"/>
                <w:i/>
                <w:sz w:val="24"/>
                <w:szCs w:val="24"/>
                <w:lang w:val="hy-AM"/>
              </w:rPr>
              <w:lastRenderedPageBreak/>
              <w:t xml:space="preserve">դիմում-հայտով </w:t>
            </w:r>
            <w:r w:rsidRPr="0030415A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խնդրարկված ծավալից ավելի քիչ ներմուծման թույլատրելի ծավալ</w:t>
            </w:r>
            <w:r w:rsidRPr="0030415A">
              <w:rPr>
                <w:rFonts w:ascii="GHEA Grapalat" w:eastAsia="Times New Roman" w:hAnsi="GHEA Grapalat" w:cs="Sylfaen"/>
                <w:i/>
                <w:sz w:val="24"/>
                <w:szCs w:val="24"/>
                <w:lang w:val="hy-AM"/>
              </w:rPr>
              <w:t>, ծանուցում է ուղարկվում` նշելով մնացորդի քանակը:</w:t>
            </w:r>
          </w:p>
          <w:p w14:paraId="54E0CCFB" w14:textId="77777777" w:rsidR="000323F8" w:rsidRPr="0030415A" w:rsidRDefault="000323F8" w:rsidP="00FD1C08">
            <w:pPr>
              <w:tabs>
                <w:tab w:val="left" w:pos="630"/>
                <w:tab w:val="left" w:pos="993"/>
                <w:tab w:val="left" w:pos="1080"/>
              </w:tabs>
              <w:spacing w:after="0" w:line="360" w:lineRule="auto"/>
              <w:ind w:left="254" w:right="231"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ab/>
            </w:r>
            <w:r w:rsidRPr="0030415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Առաջարկում ենք նախատեսել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համապատասխան կարգավորում</w:t>
            </w:r>
            <w:r w:rsidRPr="0030415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, ըստ որի՝ պատմական գնորդի </w:t>
            </w:r>
            <w:r w:rsidRPr="00704A3C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խնդրարկված քվոտայի ծավալը հաշվարկային թույլատրելի ծավալից գերազանցելու դեպքում</w:t>
            </w:r>
            <w:r w:rsidRPr="0030415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 Լիազոր մարմնի կողմից պատմական գնորդին տրամադրած ծավալը չի կարող ավելի քիչ լինել պատմական գնորդի համար հաշվարկված թույլատրելի ծավալից:</w:t>
            </w:r>
          </w:p>
          <w:p w14:paraId="09826794" w14:textId="29EE75C5" w:rsidR="000323F8" w:rsidRPr="000323F8" w:rsidRDefault="000323F8" w:rsidP="00FD1C08">
            <w:pPr>
              <w:pStyle w:val="ListParagraph"/>
              <w:tabs>
                <w:tab w:val="left" w:pos="810"/>
                <w:tab w:val="left" w:pos="851"/>
                <w:tab w:val="left" w:pos="1080"/>
              </w:tabs>
              <w:spacing w:line="360" w:lineRule="auto"/>
              <w:ind w:left="254" w:right="231"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0E2280">
              <w:rPr>
                <w:rFonts w:ascii="GHEA Grapalat" w:hAnsi="GHEA Grapalat" w:cs="Sylfaen"/>
                <w:lang w:val="hy-AM"/>
              </w:rPr>
              <w:t xml:space="preserve">Նշված կետի ավելացումը կապահովի բաշխման ժամանակ կամայական մոտեցման դրսևորումների բացառումը` թույլ </w:t>
            </w:r>
            <w:r>
              <w:rPr>
                <w:rFonts w:ascii="GHEA Grapalat" w:hAnsi="GHEA Grapalat" w:cs="Sylfaen"/>
                <w:lang w:val="hy-AM"/>
              </w:rPr>
              <w:t>չտալով արհեստականորեն քիչ ծավալի տրամադրումը</w:t>
            </w:r>
            <w:r w:rsidRPr="000E228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3D6CAB" w14:textId="77777777" w:rsidR="000323F8" w:rsidRDefault="000323F8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B6B4ED1" w14:textId="77777777" w:rsidR="00FD1C08" w:rsidRDefault="00FD1C08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ADE3EFD" w14:textId="77777777" w:rsidR="00FD1C08" w:rsidRDefault="00FD1C08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Չի ընդունվել</w:t>
            </w:r>
          </w:p>
          <w:p w14:paraId="0E50EF47" w14:textId="7D64162F" w:rsidR="00FD1C08" w:rsidRDefault="00FD1C08" w:rsidP="00FD1C08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Պատմական գնորդների համար ներմուծման թույլատրելի ծավալի հաշվարկն իրականացվում է որոշման նախագծի Հավելված N 2 – ով սահմանված Ընթացակարգով, ինչպես նաև տնտեսվարող սուբյեկ</w:t>
            </w:r>
            <w:r w:rsidR="003C5DEB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ների կողմից և ՀՀ պետական եկամուտների կոմիտեի կողմից տրամադրված վիճակագրական տվյալների համադրման արդյունքում, ինչն ինքնին ենթադրում է յուրաքանչյուր պատմական գնորդի համար հաշվարկ՝ ելնելով վերջին երեք տարիների ընթացքում տվյալ ապրանքի ներմուծման միջին ծավալից։ </w:t>
            </w:r>
          </w:p>
          <w:p w14:paraId="6A70FCA2" w14:textId="59A2952C" w:rsidR="00FD1C08" w:rsidRDefault="00FD1C08" w:rsidP="00FD1C08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Ուստի տվյալ մասով լրացուցիչ կետի սահմանումը համարում ենք ոչ նպատակահարմար։</w:t>
            </w:r>
          </w:p>
          <w:p w14:paraId="3949616D" w14:textId="77777777" w:rsidR="00FD1C08" w:rsidRDefault="00FD1C08" w:rsidP="00FD1C08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CC45CC" w14:textId="18F7BE44" w:rsidR="00FD1C08" w:rsidRPr="00FD1C08" w:rsidRDefault="00FD1C08" w:rsidP="00FD1C08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D1C08" w:rsidRPr="007B2EB0" w14:paraId="65287FA3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3848AC" w14:textId="03B3FC78" w:rsidR="00FD1C08" w:rsidRPr="00997BA7" w:rsidRDefault="00997BA7" w:rsidP="00997BA7">
            <w:pPr>
              <w:tabs>
                <w:tab w:val="left" w:pos="810"/>
                <w:tab w:val="left" w:pos="851"/>
              </w:tabs>
              <w:spacing w:line="360" w:lineRule="auto"/>
              <w:ind w:left="112" w:right="23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  <w:r w:rsidRPr="00997BA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3․</w:t>
            </w:r>
            <w:r w:rsidR="00FD1C08" w:rsidRPr="00997BA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Կարգի 14-րդ կետով սահմանված է, որ </w:t>
            </w:r>
            <w:r w:rsidR="00FD1C08" w:rsidRPr="00997BA7">
              <w:rPr>
                <w:rFonts w:ascii="GHEA Grapalat" w:hAnsi="GHEA Grapalat"/>
                <w:i/>
                <w:color w:val="000000"/>
                <w:sz w:val="24"/>
                <w:szCs w:val="24"/>
                <w:lang w:val="hy-AM"/>
              </w:rPr>
              <w:t>ա</w:t>
            </w:r>
            <w:r w:rsidR="00FD1C08" w:rsidRPr="00997BA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րտաքին տնտեսական գործունեության այլ մասնակիցների միջև ներմուծման թույլատրելի ծավալը բաշխումը յուրաքանչյուր մեկ մասնակցի մասով չպետք է գերազանցի արտաքին </w:t>
            </w:r>
            <w:r w:rsidR="00FD1C08" w:rsidRPr="00997BA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lastRenderedPageBreak/>
              <w:t xml:space="preserve">տնտեսական գործունեության այլ մասնակիցներին հասանելիք </w:t>
            </w:r>
            <w:r w:rsidR="00FD1C08" w:rsidRPr="00997BA7">
              <w:rPr>
                <w:rFonts w:ascii="GHEA Grapalat" w:hAnsi="GHEA Grapalat" w:cs="Sylfaen"/>
                <w:i/>
                <w:sz w:val="24"/>
                <w:szCs w:val="24"/>
                <w:u w:val="single"/>
                <w:lang w:val="hy-AM"/>
              </w:rPr>
              <w:t>ներմուծման թույլատրելի ծավալի 20 տոկոսը</w:t>
            </w:r>
            <w:r w:rsidR="00FD1C08" w:rsidRPr="00997BA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: Արտաքին տնտեսական գործունեության այլ մասնակիցների միջև ներմուծման թույլատրելի ծավալը բաշխվում է համամասնորեն՝ ըստ արտաքին տնտեսական գործունեության այլ մասնակիցներին հասանելիք ներմուծման թույլատրելի ծավալի մեջ դիմած քանակների կշիռների։</w:t>
            </w:r>
          </w:p>
          <w:p w14:paraId="0F48B765" w14:textId="77777777" w:rsidR="00FD1C08" w:rsidRPr="00997BA7" w:rsidRDefault="00FD1C08" w:rsidP="00997BA7">
            <w:pPr>
              <w:tabs>
                <w:tab w:val="left" w:pos="450"/>
                <w:tab w:val="left" w:pos="990"/>
              </w:tabs>
              <w:spacing w:after="0" w:line="360" w:lineRule="auto"/>
              <w:ind w:left="112" w:right="231" w:firstLine="426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97BA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ab/>
              <w:t xml:space="preserve">Հնարավոր տարընկալումներից խուսափելու համար առաջարկում ենք նշված «ծավալի 20 տոկոս» բառերից առաջ ավելացնել «ընդհանուր» բառը։ </w:t>
            </w:r>
          </w:p>
          <w:p w14:paraId="5ECBB5A5" w14:textId="77777777" w:rsidR="00FD1C08" w:rsidRPr="000E2280" w:rsidRDefault="00FD1C08" w:rsidP="00FD1C08">
            <w:pPr>
              <w:tabs>
                <w:tab w:val="left" w:pos="540"/>
              </w:tabs>
              <w:spacing w:after="0" w:line="360" w:lineRule="auto"/>
              <w:ind w:left="112" w:right="231" w:firstLine="72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31A9E287" w14:textId="77777777" w:rsidR="00FD1C08" w:rsidRDefault="00FD1C08" w:rsidP="00FD1C08">
            <w:pPr>
              <w:pStyle w:val="ListParagraph"/>
              <w:numPr>
                <w:ilvl w:val="0"/>
                <w:numId w:val="15"/>
              </w:numPr>
              <w:shd w:val="clear" w:color="auto" w:fill="FEFEFE"/>
              <w:tabs>
                <w:tab w:val="left" w:pos="993"/>
              </w:tabs>
              <w:spacing w:line="360" w:lineRule="auto"/>
              <w:ind w:left="112" w:right="231" w:hanging="502"/>
              <w:jc w:val="both"/>
              <w:rPr>
                <w:rFonts w:ascii="GHEA Grapalat" w:hAnsi="GHEA Grapalat" w:cs="Segoe UI"/>
                <w:color w:val="0A0A0A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CAD56F" w14:textId="77777777" w:rsidR="00FD1C08" w:rsidRDefault="00FD1C08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693F2DE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DE0C8E3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EEDCA64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23FA180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499A273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2679DB6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0A82771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C274CB4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E979881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00E3110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47E3551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8FB8B29" w14:textId="77777777" w:rsidR="00D042B5" w:rsidRDefault="00D042B5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D641FE5" w14:textId="13AC02FE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Ընդունվել է </w:t>
            </w:r>
          </w:p>
        </w:tc>
      </w:tr>
      <w:tr w:rsidR="00997BA7" w:rsidRPr="007B2EB0" w14:paraId="3B86DBFF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F0C4A6" w14:textId="77777777" w:rsidR="00D042B5" w:rsidRDefault="00997BA7" w:rsidP="00D042B5">
            <w:pPr>
              <w:tabs>
                <w:tab w:val="left" w:pos="540"/>
              </w:tabs>
              <w:spacing w:line="360" w:lineRule="auto"/>
              <w:ind w:left="112" w:right="23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4</w:t>
            </w:r>
            <w:r w:rsidRPr="00997BA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. Արտաքին տնտեսական գործունեության </w:t>
            </w:r>
            <w:r w:rsidRPr="00997BA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այլ մասնակիցների</w:t>
            </w:r>
            <w:r w:rsidRPr="00997BA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միջև ներմուծման թույլատրելի ծավալի բաշխման (25 տոկոս) վերաբերյալ հայտնում ենք հետևյալը.</w:t>
            </w:r>
          </w:p>
          <w:p w14:paraId="6969E299" w14:textId="7C9D130D" w:rsidR="00997BA7" w:rsidRPr="00997BA7" w:rsidRDefault="00997BA7" w:rsidP="00D042B5">
            <w:pPr>
              <w:tabs>
                <w:tab w:val="left" w:pos="540"/>
              </w:tabs>
              <w:spacing w:line="360" w:lineRule="auto"/>
              <w:ind w:left="112" w:right="231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97BA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Արտաքին տնտեսական գործունեության այլ մասնակիցների միջև ներմուծման թույլատրելի ծավալի բաշխումը իրականացնելիս</w:t>
            </w:r>
            <w:r w:rsidRPr="00997BA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առաջարկում ենք, միևնույն անձի կողմից տարբեր ընկերությունների անունից հայտ ներկայացնելու հնարավորությունը բացառելու նպատակով Կարգում նախատեսել կարգավորում, որի համաձայն անհրաժեշտ կլինի`</w:t>
            </w:r>
          </w:p>
          <w:p w14:paraId="1E26E625" w14:textId="77777777" w:rsidR="00997BA7" w:rsidRPr="00997BA7" w:rsidRDefault="00997BA7" w:rsidP="00997BA7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  <w:tab w:val="left" w:pos="900"/>
              </w:tabs>
              <w:spacing w:line="360" w:lineRule="auto"/>
              <w:ind w:left="112" w:right="231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997BA7">
              <w:rPr>
                <w:rFonts w:ascii="GHEA Grapalat" w:hAnsi="GHEA Grapalat" w:cs="Sylfaen"/>
                <w:lang w:val="hy-AM"/>
              </w:rPr>
              <w:t xml:space="preserve">դիտարկել արտաքին տնտեսական գործունեության </w:t>
            </w:r>
            <w:r w:rsidRPr="00997BA7">
              <w:rPr>
                <w:rFonts w:ascii="GHEA Grapalat" w:hAnsi="GHEA Grapalat" w:cs="Sylfaen"/>
                <w:b/>
                <w:lang w:val="hy-AM"/>
              </w:rPr>
              <w:t>այլ մասնակիցների միջև փոխկապակցվածության առկայությունը:</w:t>
            </w:r>
          </w:p>
          <w:p w14:paraId="1A3F2AFD" w14:textId="77777777" w:rsidR="00997BA7" w:rsidRPr="00997BA7" w:rsidRDefault="00997BA7" w:rsidP="00997BA7">
            <w:pPr>
              <w:tabs>
                <w:tab w:val="left" w:pos="180"/>
                <w:tab w:val="left" w:pos="900"/>
              </w:tabs>
              <w:spacing w:line="360" w:lineRule="auto"/>
              <w:ind w:left="112"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3C34CE82" w14:textId="25EAF144" w:rsidR="00997BA7" w:rsidRDefault="00997BA7" w:rsidP="00997BA7">
            <w:pPr>
              <w:tabs>
                <w:tab w:val="left" w:pos="180"/>
                <w:tab w:val="left" w:pos="900"/>
              </w:tabs>
              <w:spacing w:line="360" w:lineRule="auto"/>
              <w:ind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41368F27" w14:textId="77777777" w:rsidR="00997BA7" w:rsidRPr="00997BA7" w:rsidRDefault="00997BA7" w:rsidP="00997BA7">
            <w:pPr>
              <w:tabs>
                <w:tab w:val="left" w:pos="180"/>
                <w:tab w:val="left" w:pos="900"/>
              </w:tabs>
              <w:spacing w:line="360" w:lineRule="auto"/>
              <w:ind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11A1F7AC" w14:textId="77777777" w:rsidR="00D042B5" w:rsidRDefault="00D042B5" w:rsidP="00D042B5">
            <w:pPr>
              <w:pStyle w:val="ListParagraph"/>
              <w:tabs>
                <w:tab w:val="left" w:pos="180"/>
                <w:tab w:val="left" w:pos="900"/>
              </w:tabs>
              <w:spacing w:line="360" w:lineRule="auto"/>
              <w:ind w:left="652"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5557D5C2" w14:textId="75171588" w:rsidR="00997BA7" w:rsidRPr="00997BA7" w:rsidRDefault="00997BA7" w:rsidP="00997BA7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  <w:tab w:val="left" w:pos="900"/>
              </w:tabs>
              <w:spacing w:line="360" w:lineRule="auto"/>
              <w:ind w:left="112" w:right="231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997BA7">
              <w:rPr>
                <w:rFonts w:ascii="GHEA Grapalat" w:hAnsi="GHEA Grapalat" w:cs="Sylfaen"/>
                <w:lang w:val="hy-AM"/>
              </w:rPr>
              <w:t xml:space="preserve">դիտարկել արտաքին տնտեսական գործունեության </w:t>
            </w:r>
            <w:r w:rsidRPr="00997BA7">
              <w:rPr>
                <w:rFonts w:ascii="GHEA Grapalat" w:hAnsi="GHEA Grapalat" w:cs="Sylfaen"/>
                <w:b/>
                <w:lang w:val="hy-AM"/>
              </w:rPr>
              <w:t>այլ մասնակիցների և պատմական գնորդների միջև փոխկապակցվածության առկայությունը:</w:t>
            </w:r>
          </w:p>
          <w:p w14:paraId="0BFCF13F" w14:textId="77777777" w:rsidR="00997BA7" w:rsidRDefault="00997BA7" w:rsidP="00997BA7">
            <w:pPr>
              <w:pStyle w:val="ListParagraph"/>
              <w:tabs>
                <w:tab w:val="left" w:pos="180"/>
                <w:tab w:val="left" w:pos="900"/>
              </w:tabs>
              <w:spacing w:line="360" w:lineRule="auto"/>
              <w:ind w:left="652"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311E18CE" w14:textId="77777777" w:rsidR="00997BA7" w:rsidRDefault="00997BA7" w:rsidP="00997BA7">
            <w:pPr>
              <w:pStyle w:val="ListParagraph"/>
              <w:tabs>
                <w:tab w:val="left" w:pos="180"/>
                <w:tab w:val="left" w:pos="900"/>
              </w:tabs>
              <w:spacing w:line="360" w:lineRule="auto"/>
              <w:ind w:left="652"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254A6133" w14:textId="77777777" w:rsidR="00997BA7" w:rsidRDefault="00997BA7" w:rsidP="00997BA7">
            <w:pPr>
              <w:pStyle w:val="ListParagraph"/>
              <w:tabs>
                <w:tab w:val="left" w:pos="180"/>
                <w:tab w:val="left" w:pos="900"/>
              </w:tabs>
              <w:spacing w:line="360" w:lineRule="auto"/>
              <w:ind w:left="652"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0AC58806" w14:textId="77777777" w:rsidR="00997BA7" w:rsidRDefault="00997BA7" w:rsidP="00997BA7">
            <w:pPr>
              <w:pStyle w:val="ListParagraph"/>
              <w:tabs>
                <w:tab w:val="left" w:pos="180"/>
                <w:tab w:val="left" w:pos="900"/>
              </w:tabs>
              <w:spacing w:line="360" w:lineRule="auto"/>
              <w:ind w:left="652" w:right="231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25B055C9" w14:textId="317FB167" w:rsidR="00997BA7" w:rsidRPr="000E2280" w:rsidRDefault="00997BA7" w:rsidP="00997BA7">
            <w:pPr>
              <w:pStyle w:val="ListParagraph"/>
              <w:numPr>
                <w:ilvl w:val="0"/>
                <w:numId w:val="17"/>
              </w:numPr>
              <w:tabs>
                <w:tab w:val="left" w:pos="180"/>
                <w:tab w:val="left" w:pos="900"/>
              </w:tabs>
              <w:spacing w:line="360" w:lineRule="auto"/>
              <w:ind w:left="112" w:right="231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0E2280">
              <w:rPr>
                <w:rFonts w:ascii="GHEA Grapalat" w:hAnsi="GHEA Grapalat" w:cs="Sylfaen"/>
                <w:lang w:val="hy-AM"/>
              </w:rPr>
              <w:t>միևնույն անձի կողմից տարբեր ընկերությու</w:t>
            </w:r>
            <w:r>
              <w:rPr>
                <w:rFonts w:ascii="GHEA Grapalat" w:hAnsi="GHEA Grapalat" w:cs="Sylfaen"/>
                <w:lang w:val="hy-AM"/>
              </w:rPr>
              <w:t xml:space="preserve">նների անունից հայտ ներկայացնելը սահմանել որպես </w:t>
            </w:r>
            <w:r w:rsidRPr="000E2280">
              <w:rPr>
                <w:rFonts w:ascii="GHEA Grapalat" w:hAnsi="GHEA Grapalat" w:cs="Sylfaen"/>
                <w:lang w:val="hy-AM"/>
              </w:rPr>
              <w:t xml:space="preserve">հայտով խնդրարկված քվոտայի մերժման հիմք: </w:t>
            </w:r>
          </w:p>
          <w:p w14:paraId="217A133B" w14:textId="77777777" w:rsidR="00997BA7" w:rsidRPr="00997BA7" w:rsidRDefault="00997BA7" w:rsidP="00997BA7">
            <w:pPr>
              <w:tabs>
                <w:tab w:val="left" w:pos="810"/>
                <w:tab w:val="left" w:pos="851"/>
              </w:tabs>
              <w:spacing w:line="360" w:lineRule="auto"/>
              <w:ind w:right="231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BDFDBC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A7E8722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0E02967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E2A7845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66CD54A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EFB65B7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DD7D6AB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E8B5612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C91406B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8D96DA6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FBD1FA5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6431C81" w14:textId="77777777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68C07E0" w14:textId="77777777" w:rsidR="00D042B5" w:rsidRDefault="00D042B5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593CDE0" w14:textId="1FB4CF93" w:rsidR="00997BA7" w:rsidRDefault="00997BA7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Չի ընդունվել</w:t>
            </w:r>
          </w:p>
          <w:p w14:paraId="6079D441" w14:textId="77777777" w:rsidR="00997BA7" w:rsidRDefault="00997BA7" w:rsidP="00997BA7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BA7">
              <w:rPr>
                <w:rFonts w:ascii="GHEA Grapalat" w:hAnsi="GHEA Grapalat"/>
                <w:sz w:val="24"/>
                <w:szCs w:val="24"/>
                <w:lang w:val="hy-AM"/>
              </w:rPr>
              <w:t>Արտաքին տնտեսական գործունեության մասնակիցների միջև փոխկապվածությունների առկայության ուսումնասիրությունը չի գտնվում ՀՀ էկոնոմիկայի նախարարության իրավասությունների շրջանակներում։</w:t>
            </w:r>
          </w:p>
          <w:p w14:paraId="2D60BADA" w14:textId="77777777" w:rsidR="00997BA7" w:rsidRDefault="00997BA7" w:rsidP="00997BA7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6BB386" w14:textId="77777777" w:rsidR="00997BA7" w:rsidRDefault="00997BA7" w:rsidP="00997BA7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8030D42" w14:textId="77777777" w:rsidR="00997BA7" w:rsidRDefault="00997BA7" w:rsidP="00997BA7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97BA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Չի ընդունվել</w:t>
            </w:r>
          </w:p>
          <w:p w14:paraId="382072EC" w14:textId="4EF98551" w:rsidR="00997BA7" w:rsidRDefault="00997BA7" w:rsidP="00997BA7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BA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Արտաքին տնտեսական գործունեության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</w:t>
            </w:r>
            <w:r w:rsidRPr="00997BA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մասնակիցների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պատմական գ</w:t>
            </w:r>
            <w:r w:rsidR="003C5DEB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որդների </w:t>
            </w:r>
            <w:r w:rsidRPr="00997BA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միջև փոխկապվածությունների </w:t>
            </w:r>
            <w:r w:rsidRPr="00997BA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առկայության ուսումնասիրությունը չի գտնվում ՀՀ էկոնոմիկայի նախարարության իրավասությունների շրջանակներում։</w:t>
            </w:r>
          </w:p>
          <w:p w14:paraId="37E1A978" w14:textId="77777777" w:rsidR="00997BA7" w:rsidRDefault="00997BA7" w:rsidP="00997BA7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860B5D6" w14:textId="77777777" w:rsidR="00D042B5" w:rsidRDefault="00D042B5" w:rsidP="00997BA7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34079A0" w14:textId="48999E74" w:rsidR="00997BA7" w:rsidRPr="00997BA7" w:rsidRDefault="00997BA7" w:rsidP="00997BA7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</w:tc>
      </w:tr>
      <w:tr w:rsidR="008E4BD3" w:rsidRPr="00F31FF9" w14:paraId="7C83F94E" w14:textId="77777777" w:rsidTr="008E4BD3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277C52BB" w14:textId="60E1C2F3" w:rsidR="008E4BD3" w:rsidRPr="00F31FF9" w:rsidRDefault="008E4BD3" w:rsidP="00FD1C0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1FF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lastRenderedPageBreak/>
              <w:t> </w:t>
            </w: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</w:t>
            </w: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</w:t>
            </w:r>
            <w:r w:rsidR="0041770A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պետական եկամուտների կոմիտե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677E8A13" w14:textId="6528DBBB" w:rsidR="008E4BD3" w:rsidRPr="00F31FF9" w:rsidRDefault="00BF10F2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15.11.</w:t>
            </w:r>
            <w:r w:rsidR="008E4BD3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2021</w:t>
            </w:r>
            <w:r w:rsidR="008E4BD3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="008E4BD3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E4BD3" w:rsidRPr="00F31FF9" w14:paraId="24900AD3" w14:textId="77777777" w:rsidTr="0048191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6A210A48" w14:textId="77777777" w:rsidR="008E4BD3" w:rsidRPr="00F31FF9" w:rsidRDefault="008E4BD3" w:rsidP="00FD1C0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10944E64" w14:textId="737B722A" w:rsidR="008E4BD3" w:rsidRPr="00F31FF9" w:rsidRDefault="008E4BD3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BF10F2" w:rsidRPr="00BF10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01/3-2/72624-2021</w:t>
            </w:r>
          </w:p>
        </w:tc>
      </w:tr>
      <w:tr w:rsidR="008E4BD3" w:rsidRPr="00F31FF9" w14:paraId="4296058B" w14:textId="77777777" w:rsidTr="008E4BD3">
        <w:trPr>
          <w:trHeight w:val="240"/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787A509" w14:textId="77777777" w:rsidR="00BF10F2" w:rsidRPr="00BF10F2" w:rsidRDefault="00BF10F2" w:rsidP="00FD1C08">
            <w:pPr>
              <w:tabs>
                <w:tab w:val="left" w:pos="254"/>
                <w:tab w:val="left" w:pos="567"/>
              </w:tabs>
              <w:spacing w:line="360" w:lineRule="auto"/>
              <w:ind w:left="112" w:right="231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10F2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«</w:t>
            </w:r>
            <w:r w:rsidRPr="00BF10F2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տարածք ներմուծվող թռչնամսի նկատմամբ սակա</w:t>
            </w:r>
            <w:r w:rsidRPr="00BF10F2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գնային քվոտա կիրառելու մասին» Հայաստանի Հանրապետության կառավարութ</w:t>
            </w:r>
            <w:r w:rsidRPr="00BF10F2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յան որոշման նախագծի վերաբերյալ հայտնում ենք, որ առաջարկություններ չունենք:</w:t>
            </w:r>
          </w:p>
          <w:p w14:paraId="4D0D7614" w14:textId="7FEE8621" w:rsidR="008E4BD3" w:rsidRPr="00F31FF9" w:rsidRDefault="008E4BD3" w:rsidP="00FD1C08">
            <w:pPr>
              <w:tabs>
                <w:tab w:val="left" w:pos="254"/>
                <w:tab w:val="left" w:pos="567"/>
              </w:tabs>
              <w:spacing w:after="0" w:line="360" w:lineRule="auto"/>
              <w:ind w:left="112" w:right="231" w:firstLine="14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77AF8A" w14:textId="08F5FACB" w:rsidR="008E4BD3" w:rsidRPr="00F31FF9" w:rsidRDefault="008E4BD3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1F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F31FF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  <w:r w:rsidRPr="00F31F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62CEA" w:rsidRPr="00F31FF9" w14:paraId="5708DBF2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34EBCDAE" w14:textId="1FC4BAB0" w:rsidR="00C62CEA" w:rsidRPr="00F31FF9" w:rsidRDefault="008E4BD3" w:rsidP="00FD1C0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C62CEA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r w:rsidR="00C62CEA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</w:t>
            </w:r>
            <w:r w:rsidR="00B7219F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553E6DD8" w14:textId="783F5A37" w:rsidR="00C62CEA" w:rsidRPr="00F31FF9" w:rsidRDefault="00BF10F2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25.11.</w:t>
            </w:r>
            <w:r w:rsidR="008E4BD3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2021</w:t>
            </w:r>
            <w:r w:rsidR="008E4BD3"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</w:tr>
      <w:tr w:rsidR="00C62CEA" w:rsidRPr="00F31FF9" w14:paraId="24060D56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DC09534" w14:textId="77777777" w:rsidR="00C62CEA" w:rsidRPr="00F31FF9" w:rsidRDefault="00C62CEA" w:rsidP="00FD1C0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3028B074" w14:textId="2B09B3B4" w:rsidR="00C62CEA" w:rsidRPr="00F31FF9" w:rsidRDefault="008E4BD3" w:rsidP="00FD1C0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1FF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BF10F2" w:rsidRPr="00BF10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01/2-1/19113-2021</w:t>
            </w:r>
          </w:p>
        </w:tc>
      </w:tr>
      <w:tr w:rsidR="00357919" w:rsidRPr="00F31FF9" w14:paraId="721E6634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5A1EE7" w14:textId="77777777" w:rsidR="00BF10F2" w:rsidRPr="00BF10F2" w:rsidRDefault="00BF10F2" w:rsidP="00FD1C08">
            <w:pPr>
              <w:spacing w:before="120" w:after="0" w:line="360" w:lineRule="auto"/>
              <w:ind w:left="112" w:right="231" w:firstLine="1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t>Ս.թ. նոյեմբերի 9-ի Ձեր թիվ 01/16154-2021 գրությամբ ներկայացված՝ «Հայաստանի Հան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րապետության տարածք ներմուծվող թռչնամսի նկատմամբ սակագնային քվոտա կիրա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ռելու մասին» ՀՀ կառա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 որոշման նախագծի վերա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բեր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յալ հայտ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նում ենք, որ դիտո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ղու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թյուններ և առա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ջար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կու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 w:rsidRPr="00BF10F2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 չկան:</w:t>
            </w:r>
          </w:p>
          <w:p w14:paraId="4AD56AFE" w14:textId="5248D197" w:rsidR="00357919" w:rsidRPr="00F31FF9" w:rsidRDefault="00357919" w:rsidP="00FD1C08">
            <w:pPr>
              <w:spacing w:before="120" w:after="0" w:line="360" w:lineRule="auto"/>
              <w:ind w:left="112" w:right="231" w:firstLine="1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96B62E" w14:textId="01ED330F" w:rsidR="008F1E87" w:rsidRPr="00F31FF9" w:rsidRDefault="008E4BD3" w:rsidP="00FD1C08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31F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Ընդունվել է </w:t>
            </w:r>
          </w:p>
          <w:p w14:paraId="78766C1C" w14:textId="03CC66F9" w:rsidR="00357919" w:rsidRPr="00F31FF9" w:rsidRDefault="00357919" w:rsidP="00FD1C08">
            <w:pPr>
              <w:spacing w:after="0" w:line="360" w:lineRule="auto"/>
              <w:ind w:left="168" w:right="19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00D8C337" w14:textId="77777777" w:rsidR="00835935" w:rsidRPr="00F31FF9" w:rsidRDefault="00D042B5" w:rsidP="00FD1C08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835935" w:rsidRPr="00F31FF9" w:rsidSect="0071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38B"/>
    <w:multiLevelType w:val="hybridMultilevel"/>
    <w:tmpl w:val="AEE403A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867CBF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704D42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63CD1"/>
    <w:multiLevelType w:val="hybridMultilevel"/>
    <w:tmpl w:val="A2B450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1120D3F"/>
    <w:multiLevelType w:val="hybridMultilevel"/>
    <w:tmpl w:val="D03C3B06"/>
    <w:lvl w:ilvl="0" w:tplc="8F5A162A">
      <w:start w:val="3"/>
      <w:numFmt w:val="decimal"/>
      <w:lvlText w:val="%1."/>
      <w:lvlJc w:val="left"/>
      <w:pPr>
        <w:ind w:left="927" w:hanging="360"/>
      </w:pPr>
    </w:lvl>
    <w:lvl w:ilvl="1" w:tplc="042B0019">
      <w:start w:val="1"/>
      <w:numFmt w:val="lowerLetter"/>
      <w:lvlText w:val="%2."/>
      <w:lvlJc w:val="left"/>
      <w:pPr>
        <w:ind w:left="1647" w:hanging="360"/>
      </w:pPr>
    </w:lvl>
    <w:lvl w:ilvl="2" w:tplc="042B001B">
      <w:start w:val="1"/>
      <w:numFmt w:val="lowerRoman"/>
      <w:lvlText w:val="%3."/>
      <w:lvlJc w:val="right"/>
      <w:pPr>
        <w:ind w:left="2367" w:hanging="180"/>
      </w:pPr>
    </w:lvl>
    <w:lvl w:ilvl="3" w:tplc="042B000F">
      <w:start w:val="1"/>
      <w:numFmt w:val="decimal"/>
      <w:lvlText w:val="%4."/>
      <w:lvlJc w:val="left"/>
      <w:pPr>
        <w:ind w:left="3087" w:hanging="360"/>
      </w:pPr>
    </w:lvl>
    <w:lvl w:ilvl="4" w:tplc="042B0019">
      <w:start w:val="1"/>
      <w:numFmt w:val="lowerLetter"/>
      <w:lvlText w:val="%5."/>
      <w:lvlJc w:val="left"/>
      <w:pPr>
        <w:ind w:left="3807" w:hanging="360"/>
      </w:pPr>
    </w:lvl>
    <w:lvl w:ilvl="5" w:tplc="042B001B">
      <w:start w:val="1"/>
      <w:numFmt w:val="lowerRoman"/>
      <w:lvlText w:val="%6."/>
      <w:lvlJc w:val="right"/>
      <w:pPr>
        <w:ind w:left="4527" w:hanging="180"/>
      </w:pPr>
    </w:lvl>
    <w:lvl w:ilvl="6" w:tplc="042B000F">
      <w:start w:val="1"/>
      <w:numFmt w:val="decimal"/>
      <w:lvlText w:val="%7."/>
      <w:lvlJc w:val="left"/>
      <w:pPr>
        <w:ind w:left="5247" w:hanging="360"/>
      </w:pPr>
    </w:lvl>
    <w:lvl w:ilvl="7" w:tplc="042B0019">
      <w:start w:val="1"/>
      <w:numFmt w:val="lowerLetter"/>
      <w:lvlText w:val="%8."/>
      <w:lvlJc w:val="left"/>
      <w:pPr>
        <w:ind w:left="5967" w:hanging="360"/>
      </w:pPr>
    </w:lvl>
    <w:lvl w:ilvl="8" w:tplc="042B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3B25C8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462BF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75CD6"/>
    <w:multiLevelType w:val="hybridMultilevel"/>
    <w:tmpl w:val="7D0484A4"/>
    <w:lvl w:ilvl="0" w:tplc="FD9A8A42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" w15:restartNumberingAfterBreak="0">
    <w:nsid w:val="53176BF7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F1251B"/>
    <w:multiLevelType w:val="hybridMultilevel"/>
    <w:tmpl w:val="FED279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A3D6F81"/>
    <w:multiLevelType w:val="hybridMultilevel"/>
    <w:tmpl w:val="68D8924A"/>
    <w:lvl w:ilvl="0" w:tplc="98E280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1C6D66"/>
    <w:multiLevelType w:val="hybridMultilevel"/>
    <w:tmpl w:val="839EA7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D417F"/>
    <w:multiLevelType w:val="hybridMultilevel"/>
    <w:tmpl w:val="D0E0B9F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3D20CE8"/>
    <w:multiLevelType w:val="hybridMultilevel"/>
    <w:tmpl w:val="BBE4C69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03259"/>
    <w:multiLevelType w:val="multilevel"/>
    <w:tmpl w:val="0EF29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BF2464A"/>
    <w:multiLevelType w:val="hybridMultilevel"/>
    <w:tmpl w:val="967C7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1"/>
  </w:num>
  <w:num w:numId="5">
    <w:abstractNumId w:val="15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14"/>
    <w:rsid w:val="000004B1"/>
    <w:rsid w:val="00001321"/>
    <w:rsid w:val="00002201"/>
    <w:rsid w:val="00005E48"/>
    <w:rsid w:val="000323F8"/>
    <w:rsid w:val="000E299D"/>
    <w:rsid w:val="000E395F"/>
    <w:rsid w:val="00110845"/>
    <w:rsid w:val="001B68E6"/>
    <w:rsid w:val="001C69E5"/>
    <w:rsid w:val="001D67B2"/>
    <w:rsid w:val="001F3538"/>
    <w:rsid w:val="00230419"/>
    <w:rsid w:val="00244001"/>
    <w:rsid w:val="0027031F"/>
    <w:rsid w:val="00274DAE"/>
    <w:rsid w:val="00275D59"/>
    <w:rsid w:val="002C3C93"/>
    <w:rsid w:val="002F1E26"/>
    <w:rsid w:val="002F27F3"/>
    <w:rsid w:val="00357919"/>
    <w:rsid w:val="0036485D"/>
    <w:rsid w:val="00391918"/>
    <w:rsid w:val="003C5DEB"/>
    <w:rsid w:val="003E610B"/>
    <w:rsid w:val="00402929"/>
    <w:rsid w:val="00411F49"/>
    <w:rsid w:val="00413F25"/>
    <w:rsid w:val="0041770A"/>
    <w:rsid w:val="00451E1C"/>
    <w:rsid w:val="00471134"/>
    <w:rsid w:val="00481296"/>
    <w:rsid w:val="004A5669"/>
    <w:rsid w:val="004C04A6"/>
    <w:rsid w:val="004E41F2"/>
    <w:rsid w:val="004E5C89"/>
    <w:rsid w:val="00527D5E"/>
    <w:rsid w:val="00545419"/>
    <w:rsid w:val="005531EE"/>
    <w:rsid w:val="00555A22"/>
    <w:rsid w:val="0057798D"/>
    <w:rsid w:val="005A4582"/>
    <w:rsid w:val="005C320F"/>
    <w:rsid w:val="005D126F"/>
    <w:rsid w:val="005E60BC"/>
    <w:rsid w:val="00622F4C"/>
    <w:rsid w:val="00661CEB"/>
    <w:rsid w:val="00674B8B"/>
    <w:rsid w:val="0068702B"/>
    <w:rsid w:val="006B0E92"/>
    <w:rsid w:val="006B39D9"/>
    <w:rsid w:val="006F633D"/>
    <w:rsid w:val="00710BC9"/>
    <w:rsid w:val="00713373"/>
    <w:rsid w:val="007B2EB0"/>
    <w:rsid w:val="007B449D"/>
    <w:rsid w:val="00826000"/>
    <w:rsid w:val="008438A4"/>
    <w:rsid w:val="0088336A"/>
    <w:rsid w:val="008953DA"/>
    <w:rsid w:val="008A01D2"/>
    <w:rsid w:val="008E4BD3"/>
    <w:rsid w:val="008F1E87"/>
    <w:rsid w:val="00905E3E"/>
    <w:rsid w:val="009311D9"/>
    <w:rsid w:val="00997BA7"/>
    <w:rsid w:val="009C3E38"/>
    <w:rsid w:val="009C6D14"/>
    <w:rsid w:val="009D326C"/>
    <w:rsid w:val="00A21F9B"/>
    <w:rsid w:val="00A92B07"/>
    <w:rsid w:val="00AC237F"/>
    <w:rsid w:val="00B04465"/>
    <w:rsid w:val="00B13DA3"/>
    <w:rsid w:val="00B40350"/>
    <w:rsid w:val="00B7219F"/>
    <w:rsid w:val="00BE5C57"/>
    <w:rsid w:val="00BF10F2"/>
    <w:rsid w:val="00BF34DE"/>
    <w:rsid w:val="00C236EE"/>
    <w:rsid w:val="00C27C7C"/>
    <w:rsid w:val="00C61514"/>
    <w:rsid w:val="00C62CEA"/>
    <w:rsid w:val="00CA6996"/>
    <w:rsid w:val="00CF29DC"/>
    <w:rsid w:val="00CF4299"/>
    <w:rsid w:val="00D042B5"/>
    <w:rsid w:val="00D13F04"/>
    <w:rsid w:val="00D23543"/>
    <w:rsid w:val="00D3264E"/>
    <w:rsid w:val="00D36178"/>
    <w:rsid w:val="00D87320"/>
    <w:rsid w:val="00DA31AE"/>
    <w:rsid w:val="00DC1FAF"/>
    <w:rsid w:val="00DD24F3"/>
    <w:rsid w:val="00DE5F70"/>
    <w:rsid w:val="00DF3BC8"/>
    <w:rsid w:val="00E06EA3"/>
    <w:rsid w:val="00E4563C"/>
    <w:rsid w:val="00E514A5"/>
    <w:rsid w:val="00E57B61"/>
    <w:rsid w:val="00E77A78"/>
    <w:rsid w:val="00E8714C"/>
    <w:rsid w:val="00ED44C0"/>
    <w:rsid w:val="00EF7E63"/>
    <w:rsid w:val="00F02EAC"/>
    <w:rsid w:val="00F03037"/>
    <w:rsid w:val="00F31FF9"/>
    <w:rsid w:val="00F373B9"/>
    <w:rsid w:val="00FA6FF7"/>
    <w:rsid w:val="00FD1C08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9BA5"/>
  <w15:chartTrackingRefBased/>
  <w15:docId w15:val="{DA267AC5-CDA4-48CD-BD9E-22E4CA6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3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13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373"/>
  </w:style>
  <w:style w:type="paragraph" w:styleId="ListParagraph">
    <w:name w:val="List Paragraph"/>
    <w:aliases w:val="Akapit z listą BS,List Paragraph 1,References,Дэд гарчиг,IBL List Paragraph,List Paragraph1,Paragraph,BULLET Liste,Numbered List Paragraph,Bullet paras,Liste 1,Table no. List Paragraph,Colorful List - Accent 11"/>
    <w:basedOn w:val="Normal"/>
    <w:link w:val="ListParagraphChar"/>
    <w:uiPriority w:val="34"/>
    <w:qFormat/>
    <w:rsid w:val="00713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F02EA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F02EA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References Char,Дэд гарчиг Char,IBL List Paragraph Char,List Paragraph1 Char,Paragraph Char,BULLET Liste Char,Numbered List Paragraph Char,Bullet paras Char,Liste 1 Char"/>
    <w:link w:val="ListParagraph"/>
    <w:uiPriority w:val="34"/>
    <w:qFormat/>
    <w:locked/>
    <w:rsid w:val="004E41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793C-ED38-4951-8687-7DCD2DC7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Emma A. Movsisyan</cp:lastModifiedBy>
  <cp:revision>3</cp:revision>
  <dcterms:created xsi:type="dcterms:W3CDTF">2021-12-28T07:41:00Z</dcterms:created>
  <dcterms:modified xsi:type="dcterms:W3CDTF">2021-12-28T07:47:00Z</dcterms:modified>
</cp:coreProperties>
</file>