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7A94" w14:textId="77777777" w:rsidR="00527AB6" w:rsidRPr="00886BE4" w:rsidRDefault="00527AB6" w:rsidP="00527AB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10C3363E" w14:textId="77777777" w:rsidR="00527AB6" w:rsidRPr="00886BE4" w:rsidRDefault="00527AB6" w:rsidP="00527AB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«</w:t>
      </w:r>
      <w:r w:rsidRPr="00886BE4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ՏԱՐԱԾՔ ՆԵՐՄՈՒԾՎՈՂ </w:t>
      </w:r>
      <w:r>
        <w:rPr>
          <w:rFonts w:ascii="GHEA Grapalat" w:hAnsi="GHEA Grapalat" w:cs="Arial"/>
          <w:sz w:val="24"/>
          <w:szCs w:val="24"/>
          <w:lang w:val="hy-AM"/>
        </w:rPr>
        <w:t xml:space="preserve">ԹՌՉՆԱՄՍԻ </w:t>
      </w:r>
      <w:r w:rsidRPr="00886BE4">
        <w:rPr>
          <w:rFonts w:ascii="GHEA Grapalat" w:hAnsi="GHEA Grapalat" w:cs="Arial"/>
          <w:sz w:val="24"/>
          <w:szCs w:val="24"/>
          <w:lang w:val="hy-AM"/>
        </w:rPr>
        <w:t>ՆԿԱՏՄԱՄԲ ՍԱԿԱԳՆԱՅԻՆ ՔՎՈՏԱ ԿԻՐԱՌԵԼՈՒ ՄԱՍԻՆ</w:t>
      </w:r>
      <w:r w:rsidRPr="00886BE4">
        <w:rPr>
          <w:rFonts w:ascii="GHEA Grapalat" w:hAnsi="GHEA Grapalat"/>
          <w:sz w:val="24"/>
          <w:szCs w:val="24"/>
          <w:lang w:val="hy-AM"/>
        </w:rPr>
        <w:t>» ՀԱՅԱՍՏԱՆԻ ՀԱՆՐԱՊԵՏՈՒԹՅԱՆ ԿԱՌԱՎԱՐՈՒԹՅԱՆ ՈՐՈՇՄԱՆ ԸՆԴՈՒՆՄԱՆ ՄԱՍԻՆ</w:t>
      </w:r>
    </w:p>
    <w:p w14:paraId="2C049E06" w14:textId="77777777" w:rsidR="00527AB6" w:rsidRPr="00886BE4" w:rsidRDefault="00527AB6" w:rsidP="00527AB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82F1A2E" w14:textId="77777777" w:rsidR="00527AB6" w:rsidRPr="00886BE4" w:rsidRDefault="00527AB6" w:rsidP="00527A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14:paraId="520C33EC" w14:textId="77777777" w:rsidR="00527AB6" w:rsidRPr="00886BE4" w:rsidRDefault="00527AB6" w:rsidP="00527AB6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86BE4">
        <w:rPr>
          <w:rFonts w:ascii="GHEA Grapalat" w:hAnsi="GHEA Grapalat" w:cs="Sylfaen"/>
          <w:sz w:val="24"/>
          <w:szCs w:val="24"/>
          <w:lang w:val="hy-AM"/>
        </w:rPr>
        <w:t>«</w:t>
      </w:r>
      <w:r w:rsidRPr="00886BE4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տարածք ներմուծվող </w:t>
      </w:r>
      <w:r>
        <w:rPr>
          <w:rFonts w:ascii="GHEA Grapalat" w:hAnsi="GHEA Grapalat" w:cs="Arial"/>
          <w:sz w:val="24"/>
          <w:szCs w:val="24"/>
          <w:lang w:val="hy-AM"/>
        </w:rPr>
        <w:t>թռչնամսի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886BE4">
        <w:rPr>
          <w:rFonts w:ascii="GHEA Grapalat" w:hAnsi="GHEA Grapalat" w:cs="Arial"/>
          <w:sz w:val="24"/>
          <w:szCs w:val="24"/>
          <w:lang w:val="hy-AM"/>
        </w:rPr>
        <w:t>նկատմամբ սակագնային քվոտա կիրառելու մասին</w:t>
      </w:r>
      <w:r w:rsidRPr="00886BE4">
        <w:rPr>
          <w:rFonts w:ascii="GHEA Grapalat" w:hAnsi="GHEA Grapalat" w:cs="Sylfaen"/>
          <w:sz w:val="24"/>
          <w:szCs w:val="24"/>
          <w:lang w:val="hy-AM"/>
        </w:rPr>
        <w:t xml:space="preserve">» Հայաստանի Հանրապետության կառավարության որոշման նախագծի (այսուհետ` Նախագիծ) մշակումը պայմանավորված է 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օգոստոսի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-ի N 102 որոշմամբ 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Հանրապետությանը հատկացված ներմուծման թույլատրելի ծավալի սպառման ապահովման </w:t>
      </w:r>
      <w:r w:rsidRPr="00886BE4"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</w:p>
    <w:p w14:paraId="3930BD13" w14:textId="77777777" w:rsidR="00527AB6" w:rsidRPr="00886BE4" w:rsidRDefault="00527AB6" w:rsidP="00527A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14:paraId="1DD261AA" w14:textId="77777777" w:rsidR="00527AB6" w:rsidRPr="00886BE4" w:rsidRDefault="00527AB6" w:rsidP="00527AB6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օգոստոսի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>-ի «Եվրասիական տնտեսական միության մաքսային տարածք ներմուծվող առանձին տեսակի գյուղատնտեսական ապրանքների նկատմամբ 202</w:t>
      </w: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համար սակագնային քվոտա, ինչպես նաև Եվրասիական տնտեսական միության անդամ պետությունների տարածք ներմուծվող նշված ապրանքների նկատմամբ սակագնային քվոտայի ծավալներ սահմանելու մասին» N 102 որոշմամբ հաստատված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թռչնա</w:t>
      </w:r>
      <w:r w:rsidRPr="00886BE4">
        <w:rPr>
          <w:rFonts w:ascii="GHEA Grapalat" w:hAnsi="GHEA Grapalat" w:cs="Arial"/>
          <w:sz w:val="24"/>
          <w:szCs w:val="24"/>
          <w:lang w:val="hy-AM"/>
        </w:rPr>
        <w:t>մսի նկատմամբ սակագնային քվոտայի կիրառում մեկ տարի ժամկետով։</w:t>
      </w:r>
    </w:p>
    <w:p w14:paraId="2AF96F7B" w14:textId="77777777" w:rsidR="00527AB6" w:rsidRPr="00886BE4" w:rsidRDefault="00527AB6" w:rsidP="00527AB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Helvetica"/>
          <w:sz w:val="24"/>
          <w:szCs w:val="24"/>
          <w:lang w:val="hy-AM"/>
        </w:rPr>
        <w:t xml:space="preserve">    Հիմք ընդունելով 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 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>թվականի օգոստոսի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-ի  N 102 որոշումը 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մշակել արտաքին տնտեսական գործունեության մասնակիցների միջև </w:t>
      </w:r>
      <w:r>
        <w:rPr>
          <w:rFonts w:ascii="GHEA Grapalat" w:hAnsi="GHEA Grapalat" w:cs="Helvetica"/>
          <w:sz w:val="24"/>
          <w:szCs w:val="24"/>
          <w:lang w:val="hy-AM"/>
        </w:rPr>
        <w:t>թռչնամսի</w:t>
      </w:r>
      <w:r w:rsidRPr="00886BE4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886BE4">
        <w:rPr>
          <w:rFonts w:ascii="GHEA Grapalat" w:hAnsi="GHEA Grapalat"/>
          <w:sz w:val="24"/>
          <w:szCs w:val="24"/>
          <w:lang w:val="hy-AM"/>
        </w:rPr>
        <w:lastRenderedPageBreak/>
        <w:t>Հայաստանի Հանրապետություն ներմուծման քվոտայի ծավալների բաշխման կարգը:</w:t>
      </w:r>
    </w:p>
    <w:p w14:paraId="3E36886B" w14:textId="77777777" w:rsidR="00527AB6" w:rsidRPr="00886BE4" w:rsidRDefault="00527AB6" w:rsidP="00527AB6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 xml:space="preserve">Հաշվի առնելով,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է, ուստի վերջինս 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ճանաչվում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թռչնամսի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 ներմուծման լիցենզիա տալու մասով լիազոր մարմին։</w:t>
      </w:r>
    </w:p>
    <w:p w14:paraId="4D1C3654" w14:textId="77777777" w:rsidR="00527AB6" w:rsidRPr="00886BE4" w:rsidRDefault="00527AB6" w:rsidP="00527AB6">
      <w:pPr>
        <w:numPr>
          <w:ilvl w:val="0"/>
          <w:numId w:val="1"/>
        </w:numPr>
        <w:spacing w:after="0"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4E5D1CF7" w14:textId="77777777" w:rsidR="00527AB6" w:rsidRPr="00886BE4" w:rsidRDefault="00527AB6" w:rsidP="00527AB6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Սակագնային կարգավորման ոլորտի քաղաքականություն</w:t>
      </w:r>
    </w:p>
    <w:p w14:paraId="652D1183" w14:textId="77777777" w:rsidR="00527AB6" w:rsidRPr="00886BE4" w:rsidRDefault="00527AB6" w:rsidP="00527A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14:paraId="0D05AA01" w14:textId="77777777" w:rsidR="00527AB6" w:rsidRPr="00886BE4" w:rsidRDefault="00527AB6" w:rsidP="00527AB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օգոստոսի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-ի N 102 որոշման պահանջների 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2D57B2EB" w14:textId="77777777" w:rsidR="00527AB6" w:rsidRPr="00886BE4" w:rsidRDefault="00527AB6" w:rsidP="00527A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1877B0F3" w14:textId="77777777" w:rsidR="00527AB6" w:rsidRPr="00886BE4" w:rsidRDefault="00527AB6" w:rsidP="00527AB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42CC0A02" w14:textId="77777777" w:rsidR="00527AB6" w:rsidRPr="00886BE4" w:rsidRDefault="00527AB6" w:rsidP="00527A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ԿԱՊԸ ՌԱԶՄԱՎԱՐԱԿԱՆ ՓԱՍՏԱԹՂԹԵՐԻ ՀԵՏ, ՀԱՅԱՍՏԱՆԻ ՎԵՐԱՓՈԽՄԱՆ ՌԱԶՄԱՎԱՐՈՒԹՅՈՒՆ 2050, ԿԱՌԱՎԱՐՈՒԹՅԱՆ 2021 – 2026ԹԹ</w:t>
      </w:r>
      <w:r w:rsidRPr="00172DC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ԾՐԱԳԻՐ, ՈԼՈՐՏԱՅԻՆ ԵՎ/ԿԱՄ ԱՅԼ ՌԱԶՄԱՎԱՐՈՒԹՅՈՒՆՆԵՐ</w:t>
      </w:r>
    </w:p>
    <w:p w14:paraId="28A8BD41" w14:textId="77777777" w:rsidR="00527AB6" w:rsidRPr="0059763B" w:rsidRDefault="00527AB6" w:rsidP="00527AB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59763B">
        <w:rPr>
          <w:rFonts w:ascii="GHEA Grapalat" w:hAnsi="GHEA Grapalat"/>
          <w:sz w:val="24"/>
          <w:szCs w:val="24"/>
          <w:lang w:val="hy-AM"/>
        </w:rPr>
        <w:t>ախագիծը չի բխում</w:t>
      </w:r>
      <w:r w:rsidRPr="0059763B">
        <w:rPr>
          <w:rFonts w:ascii="Calibri" w:hAnsi="Calibri" w:cs="Calibri"/>
          <w:sz w:val="24"/>
          <w:szCs w:val="24"/>
          <w:lang w:val="hy-AM"/>
        </w:rPr>
        <w:t> </w:t>
      </w:r>
      <w:r w:rsidRPr="0059763B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59763B">
        <w:rPr>
          <w:rFonts w:ascii="Calibri" w:hAnsi="Calibri" w:cs="Calibri"/>
          <w:sz w:val="24"/>
          <w:szCs w:val="24"/>
          <w:lang w:val="hy-AM"/>
        </w:rPr>
        <w:t>  </w:t>
      </w:r>
      <w:r w:rsidRPr="0059763B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6C7127E0" w14:textId="77777777" w:rsidR="00527AB6" w:rsidRPr="00886BE4" w:rsidRDefault="00527AB6" w:rsidP="00527AB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3F55167" w14:textId="77777777" w:rsidR="00710094" w:rsidRPr="00527AB6" w:rsidRDefault="00527AB6">
      <w:pPr>
        <w:rPr>
          <w:lang w:val="hy-AM"/>
        </w:rPr>
      </w:pPr>
    </w:p>
    <w:sectPr w:rsidR="00710094" w:rsidRPr="0052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5BE7"/>
    <w:rsid w:val="00070E07"/>
    <w:rsid w:val="00405BE7"/>
    <w:rsid w:val="00527AB6"/>
    <w:rsid w:val="00863E6F"/>
    <w:rsid w:val="008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F742-8F34-484F-A99A-6D1697C4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</cp:revision>
  <dcterms:created xsi:type="dcterms:W3CDTF">2022-01-05T07:29:00Z</dcterms:created>
  <dcterms:modified xsi:type="dcterms:W3CDTF">2022-01-05T07:29:00Z</dcterms:modified>
</cp:coreProperties>
</file>