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CFB3" w14:textId="77777777" w:rsidR="00D512CE" w:rsidRPr="00DF0037" w:rsidRDefault="00D512CE" w:rsidP="00D512C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0317DD9F" w14:textId="77777777" w:rsidR="00D512CE" w:rsidRDefault="00D512CE" w:rsidP="00D512C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«</w:t>
      </w:r>
      <w:r w:rsidRPr="00DF0037">
        <w:rPr>
          <w:rFonts w:ascii="GHEA Grapalat" w:hAnsi="GHEA Grapalat"/>
          <w:sz w:val="24"/>
          <w:szCs w:val="24"/>
          <w:lang w:val="hy-AM"/>
        </w:rPr>
        <w:t>ՎԵՐԱՄՇԱԿՈՒՄ՝ ՄԱՔՍԱՅԻՆ ՏԱՐԱԾՔԻՑ ԴՈՒՐՍ» ՄԱՔՍԱՅԻՆ ԸՆԹԱՑԱԿԱՐԳԻ ԿԻՐԱՌՄԱՄԲ ՀԱՅԱՍՏԱՆԻ ՀԱՆՐԱՊԵՏՈՒԹՅԱՆ ՏԱՐԱԾՔԻՑ ԵՐՐՈՐԴ ԵՐԿՐՆԵՐ ԱՐՏԱՀԱՆՎՈՂ ԵՎ ՀԱՅԱՍՏԱՆԻ ՀԱՆՐԱՊԵՏՈՒԹՅԱՆ ՏԱՐԱԾՔ ԵՐՐՈՐԴ ԵՐԿՐՆԵՐԻՑ ՆԵՐՄՈՒԾՎՈՂ ԹԱՆԿԱՐԺԵՔ ՄԵՏԱՂՆԵՐԻ ԿԱՄ ԹԱՆԿԱՐԺԵՔ ՄԵՏԱՂՆԵՐՈՎ ՊԱՏՎԱԾ ՄԵՏԱՂՆԵՐԻ ՆԿԱՏՄԱՄԲ ՔՎՈՏԱ ՍԱՀՄԱՆԵԼՈՒ ՄԱՍԻՆ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DF003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14:paraId="459DDD33" w14:textId="77777777" w:rsidR="00D512CE" w:rsidRPr="00DF0037" w:rsidRDefault="00D512CE" w:rsidP="00D512C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43BCF76" w14:textId="77777777" w:rsidR="00D512CE" w:rsidRPr="00DF0037" w:rsidRDefault="00D512CE" w:rsidP="00D512C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</w:p>
    <w:p w14:paraId="1592BBDC" w14:textId="77777777" w:rsidR="00D512CE" w:rsidRPr="00DF0037" w:rsidRDefault="00D512CE" w:rsidP="00D512CE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«Վերամշակում՝ մաքսային տարածքից դուրս» մաքսային ընթացակարգի կիրառմամբ Հայաստանի Հանրապետության տարածքից երրորդ երկրներ արտահանվող և Հայաստանի Հանրապետության տարածք երրորդ երկրներից ներմուծվող թանկարժեք մետաղների կամ թանկարժեք մետաղներով պատված մետաղների նկատմամբ քվոտա սահմանելու մասին» </w:t>
      </w:r>
      <w:r w:rsidRPr="00DF0037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(այսուհետ` Նախագիծ) մշակումը պայմանավորված է Հայաստանի Հանրապետության կողմից միակողմանի կարգով մաքսային տարածքից դուրս վերամշակման  նպատակով նշված ապրանքների նկատմամբ քվոտա սահմանելու անհրաժեշտությամբ</w:t>
      </w:r>
      <w:r w:rsidRPr="00F529B7">
        <w:rPr>
          <w:rFonts w:ascii="GHEA Grapalat" w:hAnsi="GHEA Grapalat" w:cs="Sylfaen"/>
          <w:sz w:val="24"/>
          <w:szCs w:val="24"/>
          <w:lang w:val="hy-AM"/>
        </w:rPr>
        <w:t>, ինչպես նաև ներկայումս գործող ՀՀ կառավարության 2021 թվականի ապրիլի 8-ի N 527-Ն որոշման ժամկետի 2021 թվականի դեկտեմբերի 31-ին նախատեսվող ավարտով։</w:t>
      </w:r>
    </w:p>
    <w:p w14:paraId="393DA02B" w14:textId="77777777" w:rsidR="00D512CE" w:rsidRPr="00DF0037" w:rsidRDefault="00D512CE" w:rsidP="00D512C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ԻՐԱՎԻՃԱԿԸ ԵՎ ԽՆԴԻՐՆԵՐԸ</w:t>
      </w:r>
    </w:p>
    <w:p w14:paraId="0C3662C6" w14:textId="77777777" w:rsidR="00D512CE" w:rsidRPr="00DF0037" w:rsidRDefault="00D512CE" w:rsidP="00D512CE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2015 թվականի ապրիլի 21-ի «Ոչ սակագնային միջոցների մասին» N 30 որոշման N 14 հավելվածով հաստատված Եվրասիական տնտեսական միության մաքսային տարածք թանկարժեք մետաղների  և թանկարժեք մետաղներ պարունակող հումքային ապրանքների ներմուծման և Եվրասիական տնտեսական միության մաքսային տարածքից արտահանման մասին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դրույթի 10-րդ կետի համաձայն՝ թանկարժեք մետաղների կամ թանկարժեք մետաղներով պատված մետաղների (ԵԱՏՄ ԱՏԳ ԱԱ 7106-ից, 7107 00 000 0, 7108-ից, 7109 00 000 0, 7110 և 7111 00 000 0 ծածկագրեր),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որոնց վերամշակման արդյունքն են հանդիսանում ոսկերչական իրերը, վարպետների կողմից պատրաստված ոսկյա և արծաթյա իրերը, այլ իրերը և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, 9113 10 100 0,  9608 10 920 0-ից, 9608 10 990 0-ից  և 9608 30 000 0-ից ծածկագրեր),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նկատմամբ «վերամշակում՝ մաքսային տարածքից դուրս» մաքսային ընթացակարգի կիրառումը չի թույլատրվում, բացառությամբ այն դեպքերի, երբ Երրորդ երկրների նկատմամբ ոչ սակագնային միջոցների մասին Արձանագրության (2014 թվականի մայիսի 29-ի Եվրասիական տնտեսական միության մասին Պայմանագրի 7-րդ Հավելված) X բաժնին համապատասխան՝ անդամ պետության կողմից միակողմանի կարգով ընդունվել է նշված ապրանքների մաքսային տարածքից դուրս վերամշակման  նպատակով արտահանման քանակական սահմանափակումներ կիրառելու վերաբերյալ որոշում։ Այս դեպքում նշված ապրանքների նկատմամբ մաքսային տարածքից դուրս վերամշակում մաքսային ընթացակարգի կիրառումն իրականացվում է անդամ պետության մաքսային մարմնին պետական վերահսկողության ակտ ներկայացնելու դեպքում։</w:t>
      </w:r>
    </w:p>
    <w:p w14:paraId="1D77EE8B" w14:textId="77777777" w:rsidR="00D512CE" w:rsidRPr="00DF0037" w:rsidRDefault="00D512CE" w:rsidP="00D512CE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Հաշվի առնելով, որ վերոնշյալ միջոցը կիրառվելու է սույն որոշման ընդունման պահից մինչև 202</w:t>
      </w:r>
      <w:r>
        <w:rPr>
          <w:rFonts w:ascii="GHEA Grapalat" w:hAnsi="GHEA Grapalat" w:cs="Arial"/>
          <w:sz w:val="24"/>
          <w:szCs w:val="24"/>
          <w:lang w:val="hy-AM"/>
        </w:rPr>
        <w:t>2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թվականի դեկտեմբերի 30-ը ներառյալ Հայաստանի Հանրապետության համար նախատեսվել է՝</w:t>
      </w:r>
    </w:p>
    <w:p w14:paraId="1D070F35" w14:textId="77777777" w:rsidR="00D512CE" w:rsidRPr="00DF0037" w:rsidRDefault="00D512CE" w:rsidP="00D512CE">
      <w:pPr>
        <w:spacing w:after="0" w:line="360" w:lineRule="auto"/>
        <w:ind w:firstLine="36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1200 տոննա՝ </w:t>
      </w:r>
      <w:r w:rsidRPr="00DF0037">
        <w:rPr>
          <w:rFonts w:ascii="GHEA Grapalat" w:hAnsi="GHEA Grapalat" w:cs="Helvetica"/>
          <w:sz w:val="24"/>
          <w:szCs w:val="24"/>
          <w:lang w:val="hy-AM"/>
        </w:rPr>
        <w:t>ԵԱՏՄ ԱՏԳ ԱԱ  7107 00 000 0, 7108-ից, 7109 00 000 0, 7110 և 7111 00 000 0 ծածկագրերին դասվող թանկարժեք մետաղների կամ թանկարժեք մետաղներով պատված մետաղների ոչ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Helvetica"/>
          <w:sz w:val="24"/>
          <w:szCs w:val="24"/>
          <w:lang w:val="hy-AM"/>
        </w:rPr>
        <w:t>սակագնային քվոտա,</w:t>
      </w:r>
    </w:p>
    <w:p w14:paraId="32DF2D63" w14:textId="77777777" w:rsidR="00D512CE" w:rsidRPr="00DF0037" w:rsidRDefault="00D512CE" w:rsidP="00D512CE">
      <w:pPr>
        <w:spacing w:after="0" w:line="360" w:lineRule="auto"/>
        <w:ind w:firstLine="36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DF0037">
        <w:rPr>
          <w:rFonts w:ascii="GHEA Grapalat" w:hAnsi="GHEA Grapalat" w:cs="Helvetica"/>
          <w:sz w:val="24"/>
          <w:szCs w:val="24"/>
          <w:lang w:val="hy-AM"/>
        </w:rPr>
        <w:t>2000 տոննա՝ ԵԱՏՄ ԱՏԳ ԱԱ ապրանքային դիրք 7106-ից չմշակած տեսքով արծաթի ոչ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Helvetica"/>
          <w:sz w:val="24"/>
          <w:szCs w:val="24"/>
          <w:lang w:val="hy-AM"/>
        </w:rPr>
        <w:t>սակագնային քվոտա։</w:t>
      </w:r>
    </w:p>
    <w:p w14:paraId="36DCED3B" w14:textId="77777777" w:rsidR="00D512CE" w:rsidRPr="00DF0037" w:rsidRDefault="00D512CE" w:rsidP="00D512C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Helvetica"/>
          <w:sz w:val="24"/>
          <w:szCs w:val="24"/>
          <w:lang w:val="hy-AM"/>
        </w:rPr>
        <w:t>Ելնելով վերոգրյալից՝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անհրաժեշտություն է առաջացել մշակել արտաքին տնտեսական գործունեության մասնակիցների կողմից </w:t>
      </w:r>
      <w:r w:rsidRPr="00DF0037">
        <w:rPr>
          <w:rFonts w:ascii="GHEA Grapalat" w:hAnsi="GHEA Grapalat" w:cs="Helvetica"/>
          <w:sz w:val="24"/>
          <w:szCs w:val="24"/>
          <w:lang w:val="hy-AM"/>
        </w:rPr>
        <w:t>թանկարժեք մետաղների կամ թանկարժեք մետաղներով պատված մետաղների արտահանման լիցենզավորման ընթացակարգը</w:t>
      </w:r>
      <w:r w:rsidRPr="00DF0037">
        <w:rPr>
          <w:rFonts w:ascii="GHEA Grapalat" w:hAnsi="GHEA Grapalat"/>
          <w:sz w:val="24"/>
          <w:szCs w:val="24"/>
          <w:lang w:val="hy-AM"/>
        </w:rPr>
        <w:t>:</w:t>
      </w:r>
    </w:p>
    <w:p w14:paraId="5485C819" w14:textId="77777777" w:rsidR="00D512CE" w:rsidRPr="00DF0037" w:rsidRDefault="00D512CE" w:rsidP="00D512C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Հաշվի առնելով,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է, ուստի վերջինս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ճանաչվում է թանկարժեք մետաղների կամ թանկարժեք մետաղներով պատված մետաղների մասով լիցենզիա տրամադրելու, ինչպես նաև նշված ապրանքների նկատմամբ սահմանված քվոտայի բաշխման մասով լիազոր մարմին։</w:t>
      </w:r>
    </w:p>
    <w:p w14:paraId="2B5A54DB" w14:textId="77777777" w:rsidR="00D512CE" w:rsidRPr="00DF0037" w:rsidRDefault="00D512CE" w:rsidP="00D512CE">
      <w:pPr>
        <w:numPr>
          <w:ilvl w:val="0"/>
          <w:numId w:val="1"/>
        </w:numPr>
        <w:spacing w:after="0" w:line="360" w:lineRule="auto"/>
        <w:contextualSpacing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43760D01" w14:textId="77777777" w:rsidR="00D512CE" w:rsidRPr="00DF0037" w:rsidRDefault="00D512CE" w:rsidP="00D512CE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Ոչ սակագնային կարգավորման ոլորտում իրականացվող քաղաքականություն։</w:t>
      </w:r>
    </w:p>
    <w:p w14:paraId="22DDC917" w14:textId="77777777" w:rsidR="00D512CE" w:rsidRPr="00DF0037" w:rsidRDefault="00D512CE" w:rsidP="00D512C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ՆՊԱՏԱԿԸ ԵՎ ԲՆՈՒՅԹԸ</w:t>
      </w:r>
    </w:p>
    <w:p w14:paraId="31783626" w14:textId="77777777" w:rsidR="00D512CE" w:rsidRPr="00DF0037" w:rsidRDefault="00D512CE" w:rsidP="00D512CE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2015 թվականի ապրիլի 21-ի N 30 որոշման N14 հավելվածով հաստատված Եվրասիական տնտեսական միության մաքսային տարածք թանկարժեք մետաղների և թանկարժեք մետաղներ պարունակող հումքային ապրանքների ներմուծման և Եվրասիական տնտեսական միության մաքսային տարածքից արտահանման մասին դրույթի պահանջների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կատարման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6BC20B85" w14:textId="77777777" w:rsidR="00D512CE" w:rsidRPr="00DF0037" w:rsidRDefault="00D512CE" w:rsidP="00D512C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E40E49B" w14:textId="77777777" w:rsidR="00D512CE" w:rsidRPr="00DF0037" w:rsidRDefault="00D512CE" w:rsidP="00D512CE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6A8EC860" w14:textId="77777777" w:rsidR="00D512CE" w:rsidRPr="00DF0037" w:rsidRDefault="00D512CE" w:rsidP="00D512C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ԱՅԼ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ՏԵՂԵԿՈՒԹՅՈՒՆՆԵՐ </w:t>
      </w:r>
      <w:r w:rsidRPr="00DF0037">
        <w:rPr>
          <w:rFonts w:ascii="GHEA Grapalat" w:hAnsi="GHEA Grapalat" w:cs="Sylfaen"/>
          <w:bCs/>
          <w:sz w:val="24"/>
          <w:szCs w:val="24"/>
          <w:lang w:val="hy-AM"/>
        </w:rPr>
        <w:t>(ԵԹԵ ԱՅԴՊԻՍԻՔ ԱՌԿԱ ԵՆ)</w:t>
      </w:r>
    </w:p>
    <w:p w14:paraId="02AA0251" w14:textId="77777777" w:rsidR="00D512CE" w:rsidRPr="00C41326" w:rsidRDefault="00D512CE" w:rsidP="00D512CE">
      <w:pPr>
        <w:spacing w:after="0" w:line="360" w:lineRule="auto"/>
        <w:ind w:right="-1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Նախագծի ընդուն</w:t>
      </w:r>
      <w:r>
        <w:rPr>
          <w:rFonts w:ascii="GHEA Grapalat" w:hAnsi="GHEA Grapalat"/>
          <w:sz w:val="24"/>
          <w:szCs w:val="24"/>
          <w:lang w:val="hy-AM"/>
        </w:rPr>
        <w:t xml:space="preserve">ումը </w:t>
      </w:r>
      <w:r w:rsidRPr="00C4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բխում է </w:t>
      </w:r>
      <w:r w:rsidRPr="00C41326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 «</w:t>
      </w:r>
      <w:bookmarkStart w:id="0" w:name="_Hlk83716929"/>
      <w:r w:rsidRPr="00E317D6">
        <w:rPr>
          <w:rFonts w:ascii="GHEA Grapalat" w:eastAsia="Calibri" w:hAnsi="GHEA Grapalat" w:cs="Times New Roman"/>
          <w:sz w:val="24"/>
          <w:szCs w:val="24"/>
          <w:lang w:val="hy-AM"/>
        </w:rPr>
        <w:t>Արտաքին տնտեսական քաղաքականություն և  արտահանման խթանում</w:t>
      </w:r>
      <w:bookmarkEnd w:id="0"/>
      <w:r w:rsidRPr="00C41326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ենթա</w:t>
      </w:r>
      <w:r w:rsidRPr="00C41326">
        <w:rPr>
          <w:rFonts w:ascii="GHEA Grapalat" w:hAnsi="GHEA Grapalat"/>
          <w:sz w:val="24"/>
          <w:szCs w:val="24"/>
          <w:lang w:val="hy-AM"/>
        </w:rPr>
        <w:t>բաժնի դրույթներից։</w:t>
      </w:r>
    </w:p>
    <w:p w14:paraId="4F277F11" w14:textId="77777777" w:rsidR="00D512CE" w:rsidRPr="00DF0037" w:rsidRDefault="00D512CE" w:rsidP="00D512CE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2B7D8673" w14:textId="77777777" w:rsidR="00710094" w:rsidRPr="00D512CE" w:rsidRDefault="00D512CE">
      <w:pPr>
        <w:rPr>
          <w:lang w:val="hy-AM"/>
        </w:rPr>
      </w:pPr>
    </w:p>
    <w:sectPr w:rsidR="00710094" w:rsidRPr="00D51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37B4"/>
    <w:rsid w:val="00070E07"/>
    <w:rsid w:val="00863E6F"/>
    <w:rsid w:val="008D3639"/>
    <w:rsid w:val="009B37B4"/>
    <w:rsid w:val="00D5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8ED79-EF12-4C9F-8A24-FD9B33FE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/>
  <dc:description/>
  <cp:lastModifiedBy>Azgush A. Elazyan</cp:lastModifiedBy>
  <cp:revision>2</cp:revision>
  <dcterms:created xsi:type="dcterms:W3CDTF">2021-12-24T11:31:00Z</dcterms:created>
  <dcterms:modified xsi:type="dcterms:W3CDTF">2021-12-24T11:31:00Z</dcterms:modified>
</cp:coreProperties>
</file>