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7AE" w:rsidRDefault="004477AE">
      <w:pPr>
        <w:spacing w:after="160" w:line="259" w:lineRule="auto"/>
        <w:rPr>
          <w:rFonts w:ascii="GHEA Grapalat" w:eastAsia="GHEA Grapalat" w:hAnsi="GHEA Grapalat" w:cs="GHEA Grapalat"/>
          <w:color w:val="000000"/>
          <w:lang w:val="hy-AM" w:eastAsia="en-US"/>
        </w:rPr>
      </w:pPr>
    </w:p>
    <w:p w:rsidR="0065243E" w:rsidRPr="00467E53" w:rsidRDefault="0065243E" w:rsidP="00467E53">
      <w:pPr>
        <w:spacing w:after="160" w:line="259" w:lineRule="auto"/>
        <w:jc w:val="center"/>
        <w:rPr>
          <w:rFonts w:ascii="GHEA Grapalat" w:eastAsia="GHEA Grapalat" w:hAnsi="GHEA Grapalat" w:cs="GHEA Grapalat"/>
          <w:color w:val="000000"/>
          <w:lang w:val="hy-AM" w:eastAsia="en-US"/>
        </w:rPr>
      </w:pPr>
      <w:r w:rsidRPr="000C590B">
        <w:rPr>
          <w:rFonts w:ascii="GHEA Grapalat" w:eastAsia="GHEA Grapalat" w:hAnsi="GHEA Grapalat" w:cs="GHEA Grapalat"/>
          <w:b/>
          <w:color w:val="000000"/>
          <w:lang w:val="hy-AM" w:eastAsia="en-US"/>
        </w:rPr>
        <w:t>ՀԻՄՆԱՎՈՐՈՒՄ</w:t>
      </w:r>
    </w:p>
    <w:p w:rsidR="0065243E" w:rsidRPr="000C590B" w:rsidRDefault="00272E84" w:rsidP="0065243E">
      <w:pPr>
        <w:pBdr>
          <w:top w:val="nil"/>
          <w:left w:val="nil"/>
          <w:bottom w:val="nil"/>
          <w:right w:val="nil"/>
          <w:between w:val="nil"/>
        </w:pBdr>
        <w:spacing w:line="360" w:lineRule="auto"/>
        <w:jc w:val="center"/>
        <w:rPr>
          <w:rFonts w:ascii="GHEA Grapalat" w:eastAsia="GHEA Grapalat" w:hAnsi="GHEA Grapalat" w:cs="GHEA Grapalat"/>
          <w:b/>
          <w:color w:val="000000"/>
          <w:lang w:val="hy-AM" w:eastAsia="en-US"/>
        </w:rPr>
      </w:pPr>
      <w:r w:rsidRPr="000C590B">
        <w:rPr>
          <w:rFonts w:ascii="GHEA Grapalat" w:eastAsia="GHEA Grapalat" w:hAnsi="GHEA Grapalat" w:cs="GHEA Grapalat"/>
          <w:b/>
          <w:lang w:val="hy-AM" w:eastAsia="en-US"/>
        </w:rPr>
        <w:t>«</w:t>
      </w:r>
      <w:r w:rsidR="00E77588" w:rsidRPr="00E77588">
        <w:rPr>
          <w:rFonts w:ascii="GHEA Grapalat" w:eastAsia="GHEA Grapalat" w:hAnsi="GHEA Grapalat" w:cs="GHEA Grapalat"/>
          <w:b/>
          <w:color w:val="000000"/>
          <w:lang w:val="hy-AM" w:eastAsia="en-US"/>
        </w:rPr>
        <w:t>ԱՇԽԱՏԱՆՔԱՅԻՆ ՕՐԵՆՍԳՐՔՈՒՄ ԼՐԱՑՈՒՄՆԵՐ ԿԱՏԱՐԵԼՈՒ ՄԱՍԻՆ</w:t>
      </w:r>
      <w:r w:rsidRPr="000C590B">
        <w:rPr>
          <w:rFonts w:ascii="GHEA Grapalat" w:eastAsia="GHEA Grapalat" w:hAnsi="GHEA Grapalat" w:cs="GHEA Grapalat"/>
          <w:b/>
          <w:lang w:val="hy-AM" w:eastAsia="en-US"/>
        </w:rPr>
        <w:t>»</w:t>
      </w:r>
      <w:r w:rsidR="00E77588" w:rsidRPr="00E77588">
        <w:rPr>
          <w:rFonts w:ascii="GHEA Grapalat" w:eastAsia="GHEA Grapalat" w:hAnsi="GHEA Grapalat" w:cs="GHEA Grapalat"/>
          <w:b/>
          <w:color w:val="000000"/>
          <w:lang w:val="hy-AM" w:eastAsia="en-US"/>
        </w:rPr>
        <w:t xml:space="preserve"> ԵՎ </w:t>
      </w:r>
      <w:r w:rsidR="0065243E" w:rsidRPr="000C590B">
        <w:rPr>
          <w:rFonts w:ascii="GHEA Grapalat" w:eastAsia="GHEA Grapalat" w:hAnsi="GHEA Grapalat" w:cs="GHEA Grapalat"/>
          <w:b/>
          <w:lang w:val="hy-AM" w:eastAsia="en-US"/>
        </w:rPr>
        <w:t>««ՀԱՆՐԱՅԻՆ ԾԱՌԱՅՈՒԹՅԱՆ ՄԱՍԻՆ» ՀԱՅԱՍՏԱՆԻ ՀԱՆՐԱՊԵՏՈՒԹՅԱՆ ՕՐԵՆՔՈՒՄ</w:t>
      </w:r>
      <w:r w:rsidR="0065243E" w:rsidRPr="000C590B">
        <w:rPr>
          <w:rFonts w:ascii="GHEA Grapalat" w:eastAsia="GHEA Grapalat" w:hAnsi="GHEA Grapalat" w:cs="GHEA Grapalat"/>
          <w:b/>
          <w:color w:val="000000"/>
          <w:lang w:val="hy-AM" w:eastAsia="en-US"/>
        </w:rPr>
        <w:t xml:space="preserve"> ԼՐԱՑՈՒՄՆԵՐ</w:t>
      </w:r>
      <w:r w:rsidR="00E77588" w:rsidRPr="00E77588">
        <w:rPr>
          <w:rFonts w:ascii="GHEA Grapalat" w:eastAsia="GHEA Grapalat" w:hAnsi="GHEA Grapalat" w:cs="GHEA Grapalat"/>
          <w:b/>
          <w:color w:val="000000"/>
          <w:lang w:val="hy-AM" w:eastAsia="en-US"/>
        </w:rPr>
        <w:t xml:space="preserve"> ԵՎ</w:t>
      </w:r>
      <w:r w:rsidR="0055549A" w:rsidRPr="0055549A">
        <w:rPr>
          <w:rFonts w:ascii="GHEA Grapalat" w:eastAsia="GHEA Grapalat" w:hAnsi="GHEA Grapalat" w:cs="GHEA Grapalat"/>
          <w:b/>
          <w:color w:val="000000"/>
          <w:lang w:val="hy-AM" w:eastAsia="en-US"/>
        </w:rPr>
        <w:t xml:space="preserve"> </w:t>
      </w:r>
      <w:r w:rsidR="0055549A">
        <w:rPr>
          <w:rFonts w:ascii="GHEA Grapalat" w:eastAsia="GHEA Grapalat" w:hAnsi="GHEA Grapalat" w:cs="GHEA Grapalat"/>
          <w:b/>
          <w:color w:val="000000"/>
          <w:lang w:val="hy-AM" w:eastAsia="en-US"/>
        </w:rPr>
        <w:t>ՓՈՓՈԽՈՒԹՅՈՒՆ</w:t>
      </w:r>
      <w:r w:rsidR="0065243E" w:rsidRPr="000C590B">
        <w:rPr>
          <w:rFonts w:ascii="GHEA Grapalat" w:eastAsia="GHEA Grapalat" w:hAnsi="GHEA Grapalat" w:cs="GHEA Grapalat"/>
          <w:b/>
          <w:color w:val="000000"/>
          <w:lang w:val="hy-AM" w:eastAsia="en-US"/>
        </w:rPr>
        <w:t xml:space="preserve"> ԿԱՏԱՐԵԼՈՒ ՄԱՍԻՆ» </w:t>
      </w:r>
      <w:r w:rsidR="0065243E" w:rsidRPr="000C590B">
        <w:rPr>
          <w:rFonts w:ascii="GHEA Grapalat" w:eastAsia="GHEA Grapalat" w:hAnsi="GHEA Grapalat" w:cs="GHEA Grapalat"/>
          <w:b/>
          <w:lang w:val="hy-AM" w:eastAsia="en-US"/>
        </w:rPr>
        <w:t>ՕՐԵՆՔ</w:t>
      </w:r>
      <w:r w:rsidR="00E77588" w:rsidRPr="00E77588">
        <w:rPr>
          <w:rFonts w:ascii="GHEA Grapalat" w:eastAsia="GHEA Grapalat" w:hAnsi="GHEA Grapalat" w:cs="GHEA Grapalat"/>
          <w:b/>
          <w:lang w:val="hy-AM" w:eastAsia="en-US"/>
        </w:rPr>
        <w:t>ՆԵՐ</w:t>
      </w:r>
      <w:r w:rsidR="0065243E" w:rsidRPr="000C590B">
        <w:rPr>
          <w:rFonts w:ascii="GHEA Grapalat" w:eastAsia="GHEA Grapalat" w:hAnsi="GHEA Grapalat" w:cs="GHEA Grapalat"/>
          <w:b/>
          <w:lang w:val="hy-AM" w:eastAsia="en-US"/>
        </w:rPr>
        <w:t xml:space="preserve">Ի </w:t>
      </w:r>
      <w:r w:rsidR="0065243E" w:rsidRPr="000C590B">
        <w:rPr>
          <w:rFonts w:ascii="GHEA Grapalat" w:eastAsia="GHEA Grapalat" w:hAnsi="GHEA Grapalat" w:cs="GHEA Grapalat"/>
          <w:b/>
          <w:color w:val="000000"/>
          <w:lang w:val="hy-AM" w:eastAsia="en-US"/>
        </w:rPr>
        <w:t>ՆԱԽԱԳԾ</w:t>
      </w:r>
      <w:r w:rsidR="00E77588" w:rsidRPr="00E77588">
        <w:rPr>
          <w:rFonts w:ascii="GHEA Grapalat" w:eastAsia="GHEA Grapalat" w:hAnsi="GHEA Grapalat" w:cs="GHEA Grapalat"/>
          <w:b/>
          <w:color w:val="000000"/>
          <w:lang w:val="hy-AM" w:eastAsia="en-US"/>
        </w:rPr>
        <w:t>ԵՐ</w:t>
      </w:r>
      <w:r w:rsidR="0065243E" w:rsidRPr="000C590B">
        <w:rPr>
          <w:rFonts w:ascii="GHEA Grapalat" w:eastAsia="GHEA Grapalat" w:hAnsi="GHEA Grapalat" w:cs="GHEA Grapalat"/>
          <w:b/>
          <w:color w:val="000000"/>
          <w:lang w:val="hy-AM" w:eastAsia="en-US"/>
        </w:rPr>
        <w:t>Ի</w:t>
      </w:r>
    </w:p>
    <w:p w:rsidR="0065243E" w:rsidRPr="000C590B" w:rsidRDefault="0065243E" w:rsidP="0065243E">
      <w:pPr>
        <w:pBdr>
          <w:top w:val="nil"/>
          <w:left w:val="nil"/>
          <w:bottom w:val="nil"/>
          <w:right w:val="nil"/>
          <w:between w:val="nil"/>
        </w:pBdr>
        <w:spacing w:line="360" w:lineRule="auto"/>
        <w:jc w:val="center"/>
        <w:rPr>
          <w:rFonts w:ascii="GHEA Grapalat" w:eastAsia="GHEA Grapalat" w:hAnsi="GHEA Grapalat" w:cs="GHEA Grapalat"/>
          <w:b/>
          <w:color w:val="000000"/>
          <w:lang w:val="hy-AM" w:eastAsia="en-US"/>
        </w:rPr>
      </w:pPr>
    </w:p>
    <w:p w:rsidR="0065243E" w:rsidRPr="000C590B" w:rsidRDefault="0065243E" w:rsidP="0065243E">
      <w:pPr>
        <w:pBdr>
          <w:top w:val="nil"/>
          <w:left w:val="nil"/>
          <w:bottom w:val="nil"/>
          <w:right w:val="nil"/>
          <w:between w:val="nil"/>
        </w:pBdr>
        <w:spacing w:line="360" w:lineRule="auto"/>
        <w:ind w:firstLine="720"/>
        <w:jc w:val="both"/>
        <w:rPr>
          <w:rFonts w:ascii="GHEA Grapalat" w:eastAsia="GHEA Grapalat" w:hAnsi="GHEA Grapalat" w:cs="GHEA Grapalat"/>
          <w:b/>
          <w:color w:val="000000"/>
          <w:lang w:val="hy-AM" w:eastAsia="en-US"/>
        </w:rPr>
      </w:pPr>
      <w:r w:rsidRPr="000C590B">
        <w:rPr>
          <w:rFonts w:ascii="GHEA Grapalat" w:eastAsia="GHEA Grapalat" w:hAnsi="GHEA Grapalat" w:cs="GHEA Grapalat"/>
          <w:b/>
          <w:color w:val="000000"/>
          <w:lang w:val="hy-AM" w:eastAsia="en-US"/>
        </w:rPr>
        <w:t>1. Ընթացիկ իրավիճակը և իրավական ակտի ընդունման անհրաժեշտությունը</w:t>
      </w:r>
    </w:p>
    <w:p w:rsidR="0065243E" w:rsidRPr="00661EAA" w:rsidRDefault="0065243E" w:rsidP="000635A3">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xml:space="preserve">Ներկայում ինչպես Հայաստանի Հանրապետությունում, այնպես էլ ամբողջ աշխարհում շարունակում է պահպանվել կորոնավիրուսային հիվանդությամբ </w:t>
      </w:r>
      <w:r w:rsidRPr="00661EAA">
        <w:rPr>
          <w:rFonts w:ascii="GHEA Grapalat" w:eastAsia="GHEA Grapalat" w:hAnsi="GHEA Grapalat" w:cs="GHEA Grapalat"/>
          <w:highlight w:val="white"/>
          <w:lang w:val="hy-AM" w:eastAsia="en-US"/>
        </w:rPr>
        <w:t xml:space="preserve">(COVID-19) </w:t>
      </w:r>
      <w:r w:rsidRPr="00661EAA">
        <w:rPr>
          <w:rFonts w:ascii="GHEA Grapalat" w:eastAsia="GHEA Grapalat" w:hAnsi="GHEA Grapalat" w:cs="GHEA Grapalat"/>
          <w:lang w:val="hy-AM" w:eastAsia="en-US"/>
        </w:rPr>
        <w:t xml:space="preserve">ստեղծված արտակարգ իրավիճակը: Նման իրավիճակի պահպանման պայմաններում, </w:t>
      </w:r>
      <w:r w:rsidR="00E77588" w:rsidRPr="00E77588">
        <w:rPr>
          <w:rFonts w:ascii="GHEA Grapalat" w:eastAsia="GHEA Grapalat" w:hAnsi="GHEA Grapalat" w:cs="GHEA Grapalat"/>
          <w:lang w:val="hy-AM" w:eastAsia="en-US"/>
        </w:rPr>
        <w:t>աշխարհում</w:t>
      </w:r>
      <w:r w:rsidRPr="00661EAA">
        <w:rPr>
          <w:rFonts w:ascii="GHEA Grapalat" w:eastAsia="GHEA Grapalat" w:hAnsi="GHEA Grapalat" w:cs="GHEA Grapalat"/>
          <w:lang w:val="hy-AM" w:eastAsia="en-US"/>
        </w:rPr>
        <w:t>, այդ թվում</w:t>
      </w:r>
      <w:r>
        <w:rPr>
          <w:rFonts w:ascii="GHEA Grapalat" w:eastAsia="GHEA Grapalat" w:hAnsi="GHEA Grapalat" w:cs="GHEA Grapalat"/>
          <w:lang w:val="hy-AM" w:eastAsia="en-US"/>
        </w:rPr>
        <w:t>՝</w:t>
      </w:r>
      <w:r w:rsidRPr="00661EAA">
        <w:rPr>
          <w:rFonts w:ascii="GHEA Grapalat" w:eastAsia="GHEA Grapalat" w:hAnsi="GHEA Grapalat" w:cs="GHEA Grapalat"/>
          <w:lang w:val="hy-AM" w:eastAsia="en-US"/>
        </w:rPr>
        <w:t xml:space="preserve"> Հայաստանում, նկատվում է կորոնավիրուսային հիվանդությամբ վարակվելու դեպքերի, ինչպես նաև այդ հիվանդության հետևանքով մահվան դեպքերի թվերի աճ:</w:t>
      </w:r>
    </w:p>
    <w:p w:rsidR="0065243E" w:rsidRPr="00661EAA" w:rsidRDefault="0065243E" w:rsidP="008206FC">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Այսպես</w:t>
      </w:r>
      <w:r w:rsidR="00E77588" w:rsidRPr="00E77588">
        <w:rPr>
          <w:rFonts w:ascii="GHEA Grapalat" w:eastAsia="GHEA Grapalat" w:hAnsi="GHEA Grapalat" w:cs="GHEA Grapalat"/>
          <w:lang w:val="hy-AM" w:eastAsia="en-US"/>
        </w:rPr>
        <w:t>, օգոստոսի վիճակագրական պատկերը հետևյալն է</w:t>
      </w:r>
      <w:r w:rsidRPr="00661EAA">
        <w:rPr>
          <w:rFonts w:ascii="GHEA Grapalat" w:eastAsia="GHEA Grapalat" w:hAnsi="GHEA Grapalat" w:cs="GHEA Grapalat"/>
          <w:lang w:val="hy-AM" w:eastAsia="en-US"/>
        </w:rPr>
        <w:t>.</w:t>
      </w:r>
    </w:p>
    <w:p w:rsidR="0065243E" w:rsidRPr="00661EAA" w:rsidRDefault="0065243E" w:rsidP="008206FC">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1) առաջին շաբաթվա ընթացքում (01-07.08.2021թ.) կորոնավիրուսային հիվանդության հաստատված դեպքերի թիվը կազմել է 1,818 դեպք՝ կատարված 43,897 թեստավորումներից (4.14%), իսկ մահվան դեպքերի թիվը՝ 31.</w:t>
      </w:r>
    </w:p>
    <w:p w:rsidR="0065243E" w:rsidRPr="00661EAA" w:rsidRDefault="0065243E" w:rsidP="008206FC">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2) երկրորդ շաբաթվա ընթացքում (08-14.08.2021թ.) կորոնավիրուսային հիվանդության հաստատված դեպքերի թիվը կազմել է 2,401 դեպք՝ կատարված 40,281 թեստավորումներից (5.96%), իսկ մահվան դեպքերի թիվը՝ 45.</w:t>
      </w:r>
    </w:p>
    <w:p w:rsidR="0065243E" w:rsidRPr="00661EAA" w:rsidRDefault="0065243E" w:rsidP="00372618">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3) երրորդ շաբաթվա ընթացքում (15-21.08.2021թ.) կորոնավիրուսային հիվանդության հաստատված դեպքերի թիվը կազմել է 3,076 դեպք՝ կատարված 46,082 թեստավորումներից (6.67%), իսկ մահվան դեպքերի թիվը՝ 57.</w:t>
      </w:r>
    </w:p>
    <w:p w:rsidR="0065243E" w:rsidRPr="00661EAA" w:rsidRDefault="0065243E"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xml:space="preserve">4) </w:t>
      </w:r>
      <w:r w:rsidR="0043566D" w:rsidRPr="0043566D">
        <w:rPr>
          <w:rFonts w:ascii="GHEA Grapalat" w:eastAsia="GHEA Grapalat" w:hAnsi="GHEA Grapalat" w:cs="GHEA Grapalat"/>
          <w:lang w:val="hy-AM" w:eastAsia="en-US"/>
        </w:rPr>
        <w:t>չորրորդ</w:t>
      </w:r>
      <w:r w:rsidR="00EA27CD" w:rsidRPr="00661EAA">
        <w:rPr>
          <w:rFonts w:ascii="GHEA Grapalat" w:eastAsia="GHEA Grapalat" w:hAnsi="GHEA Grapalat" w:cs="GHEA Grapalat"/>
          <w:lang w:val="hy-AM" w:eastAsia="en-US"/>
        </w:rPr>
        <w:t xml:space="preserve"> </w:t>
      </w:r>
      <w:r w:rsidRPr="00661EAA">
        <w:rPr>
          <w:rFonts w:ascii="GHEA Grapalat" w:eastAsia="GHEA Grapalat" w:hAnsi="GHEA Grapalat" w:cs="GHEA Grapalat"/>
          <w:lang w:val="hy-AM" w:eastAsia="en-US"/>
        </w:rPr>
        <w:t>շաբաթվա կեսի դրությամբ (22-</w:t>
      </w:r>
      <w:r w:rsidR="00E82893" w:rsidRPr="00661EAA">
        <w:rPr>
          <w:rFonts w:ascii="GHEA Grapalat" w:eastAsia="GHEA Grapalat" w:hAnsi="GHEA Grapalat" w:cs="GHEA Grapalat"/>
          <w:lang w:val="hy-AM" w:eastAsia="en-US"/>
        </w:rPr>
        <w:t>2</w:t>
      </w:r>
      <w:r w:rsidR="00E82893">
        <w:rPr>
          <w:rFonts w:ascii="GHEA Grapalat" w:eastAsia="GHEA Grapalat" w:hAnsi="GHEA Grapalat" w:cs="GHEA Grapalat"/>
          <w:lang w:val="hy-AM" w:eastAsia="en-US"/>
        </w:rPr>
        <w:t>9</w:t>
      </w:r>
      <w:r w:rsidRPr="00661EAA">
        <w:rPr>
          <w:rFonts w:ascii="GHEA Grapalat" w:eastAsia="GHEA Grapalat" w:hAnsi="GHEA Grapalat" w:cs="GHEA Grapalat"/>
          <w:lang w:val="hy-AM" w:eastAsia="en-US"/>
        </w:rPr>
        <w:t xml:space="preserve">.08.2021թ.) կորոնավիրուսային հիվանդության հաստատված դեպքերի թիվը կազմել է </w:t>
      </w:r>
      <w:r w:rsidR="00E82893">
        <w:rPr>
          <w:rFonts w:ascii="GHEA Grapalat" w:eastAsia="GHEA Grapalat" w:hAnsi="GHEA Grapalat" w:cs="GHEA Grapalat"/>
          <w:lang w:val="hy-AM" w:eastAsia="en-US"/>
        </w:rPr>
        <w:t>3</w:t>
      </w:r>
      <w:r w:rsidRPr="00661EAA">
        <w:rPr>
          <w:rFonts w:ascii="GHEA Grapalat" w:eastAsia="GHEA Grapalat" w:hAnsi="GHEA Grapalat" w:cs="GHEA Grapalat"/>
          <w:lang w:val="hy-AM" w:eastAsia="en-US"/>
        </w:rPr>
        <w:t>,</w:t>
      </w:r>
      <w:r w:rsidR="00E82893">
        <w:rPr>
          <w:rFonts w:ascii="GHEA Grapalat" w:eastAsia="GHEA Grapalat" w:hAnsi="GHEA Grapalat" w:cs="GHEA Grapalat"/>
          <w:lang w:val="hy-AM" w:eastAsia="en-US"/>
        </w:rPr>
        <w:t>702</w:t>
      </w:r>
      <w:r w:rsidR="00E82893" w:rsidRPr="00661EAA">
        <w:rPr>
          <w:rFonts w:ascii="GHEA Grapalat" w:eastAsia="GHEA Grapalat" w:hAnsi="GHEA Grapalat" w:cs="GHEA Grapalat"/>
          <w:lang w:val="hy-AM" w:eastAsia="en-US"/>
        </w:rPr>
        <w:t xml:space="preserve"> </w:t>
      </w:r>
      <w:r w:rsidRPr="00661EAA">
        <w:rPr>
          <w:rFonts w:ascii="GHEA Grapalat" w:eastAsia="GHEA Grapalat" w:hAnsi="GHEA Grapalat" w:cs="GHEA Grapalat"/>
          <w:lang w:val="hy-AM" w:eastAsia="en-US"/>
        </w:rPr>
        <w:t xml:space="preserve">դեպք՝ կատարված </w:t>
      </w:r>
      <w:r w:rsidR="00E82893">
        <w:rPr>
          <w:rFonts w:ascii="GHEA Grapalat" w:eastAsia="GHEA Grapalat" w:hAnsi="GHEA Grapalat" w:cs="GHEA Grapalat"/>
          <w:lang w:val="hy-AM" w:eastAsia="en-US"/>
        </w:rPr>
        <w:t>42</w:t>
      </w:r>
      <w:r w:rsidRPr="00661EAA">
        <w:rPr>
          <w:rFonts w:ascii="GHEA Grapalat" w:eastAsia="GHEA Grapalat" w:hAnsi="GHEA Grapalat" w:cs="GHEA Grapalat"/>
          <w:lang w:val="hy-AM" w:eastAsia="en-US"/>
        </w:rPr>
        <w:t>,</w:t>
      </w:r>
      <w:r w:rsidR="00E82893">
        <w:rPr>
          <w:rFonts w:ascii="GHEA Grapalat" w:eastAsia="GHEA Grapalat" w:hAnsi="GHEA Grapalat" w:cs="GHEA Grapalat"/>
          <w:lang w:val="hy-AM" w:eastAsia="en-US"/>
        </w:rPr>
        <w:t>890</w:t>
      </w:r>
      <w:r w:rsidR="00E82893" w:rsidRPr="00661EAA">
        <w:rPr>
          <w:rFonts w:ascii="GHEA Grapalat" w:eastAsia="GHEA Grapalat" w:hAnsi="GHEA Grapalat" w:cs="GHEA Grapalat"/>
          <w:lang w:val="hy-AM" w:eastAsia="en-US"/>
        </w:rPr>
        <w:t xml:space="preserve"> </w:t>
      </w:r>
      <w:r w:rsidRPr="00661EAA">
        <w:rPr>
          <w:rFonts w:ascii="GHEA Grapalat" w:eastAsia="GHEA Grapalat" w:hAnsi="GHEA Grapalat" w:cs="GHEA Grapalat"/>
          <w:lang w:val="hy-AM" w:eastAsia="en-US"/>
        </w:rPr>
        <w:t>թեստավորումներից (</w:t>
      </w:r>
      <w:r w:rsidR="00E82893">
        <w:rPr>
          <w:rFonts w:ascii="GHEA Grapalat" w:eastAsia="GHEA Grapalat" w:hAnsi="GHEA Grapalat" w:cs="GHEA Grapalat"/>
          <w:lang w:val="hy-AM" w:eastAsia="en-US"/>
        </w:rPr>
        <w:t>8</w:t>
      </w:r>
      <w:r w:rsidRPr="00661EAA">
        <w:rPr>
          <w:rFonts w:ascii="GHEA Grapalat" w:eastAsia="GHEA Grapalat" w:hAnsi="GHEA Grapalat" w:cs="GHEA Grapalat"/>
          <w:lang w:val="hy-AM" w:eastAsia="en-US"/>
        </w:rPr>
        <w:t>.</w:t>
      </w:r>
      <w:r w:rsidR="00E82893">
        <w:rPr>
          <w:rFonts w:ascii="GHEA Grapalat" w:eastAsia="GHEA Grapalat" w:hAnsi="GHEA Grapalat" w:cs="GHEA Grapalat"/>
          <w:lang w:val="hy-AM" w:eastAsia="en-US"/>
        </w:rPr>
        <w:t>63</w:t>
      </w:r>
      <w:r w:rsidRPr="00661EAA">
        <w:rPr>
          <w:rFonts w:ascii="GHEA Grapalat" w:eastAsia="GHEA Grapalat" w:hAnsi="GHEA Grapalat" w:cs="GHEA Grapalat"/>
          <w:lang w:val="hy-AM" w:eastAsia="en-US"/>
        </w:rPr>
        <w:t xml:space="preserve">%), իսկ մահվան դեպքերի թիվը՝ </w:t>
      </w:r>
      <w:r w:rsidR="00E82893">
        <w:rPr>
          <w:rFonts w:ascii="GHEA Grapalat" w:eastAsia="GHEA Grapalat" w:hAnsi="GHEA Grapalat" w:cs="GHEA Grapalat"/>
          <w:lang w:val="hy-AM" w:eastAsia="en-US"/>
        </w:rPr>
        <w:t>71</w:t>
      </w:r>
      <w:r w:rsidRPr="00661EAA">
        <w:rPr>
          <w:rFonts w:ascii="GHEA Grapalat" w:eastAsia="GHEA Grapalat" w:hAnsi="GHEA Grapalat" w:cs="GHEA Grapalat"/>
          <w:lang w:val="hy-AM" w:eastAsia="en-US"/>
        </w:rPr>
        <w:t>:</w:t>
      </w:r>
    </w:p>
    <w:p w:rsidR="0065243E" w:rsidRPr="00D04A3B" w:rsidRDefault="0065243E" w:rsidP="00251212">
      <w:pPr>
        <w:spacing w:line="360" w:lineRule="auto"/>
        <w:ind w:firstLine="720"/>
        <w:jc w:val="both"/>
        <w:rPr>
          <w:rFonts w:ascii="GHEA Grapalat" w:eastAsia="GHEA Grapalat" w:hAnsi="GHEA Grapalat" w:cs="GHEA Grapalat"/>
          <w:b/>
          <w:i/>
          <w:lang w:val="hy-AM" w:eastAsia="en-US"/>
        </w:rPr>
      </w:pPr>
      <w:r w:rsidRPr="00661EAA">
        <w:rPr>
          <w:rFonts w:ascii="GHEA Grapalat" w:eastAsia="GHEA Grapalat" w:hAnsi="GHEA Grapalat" w:cs="GHEA Grapalat"/>
          <w:b/>
          <w:i/>
          <w:lang w:val="hy-AM" w:eastAsia="en-US"/>
        </w:rPr>
        <w:t xml:space="preserve">Ընդամենը՝ </w:t>
      </w:r>
      <w:r w:rsidR="00E82893">
        <w:rPr>
          <w:rFonts w:ascii="GHEA Grapalat" w:eastAsia="GHEA Grapalat" w:hAnsi="GHEA Grapalat" w:cs="GHEA Grapalat"/>
          <w:b/>
          <w:i/>
          <w:lang w:val="hy-AM" w:eastAsia="en-US"/>
        </w:rPr>
        <w:t>10,997</w:t>
      </w:r>
      <w:r w:rsidRPr="00661EAA">
        <w:rPr>
          <w:rFonts w:ascii="GHEA Grapalat" w:eastAsia="GHEA Grapalat" w:hAnsi="GHEA Grapalat" w:cs="GHEA Grapalat"/>
          <w:b/>
          <w:i/>
          <w:lang w:val="hy-AM" w:eastAsia="en-US"/>
        </w:rPr>
        <w:t xml:space="preserve"> դեպք, </w:t>
      </w:r>
      <w:r w:rsidR="00E82893">
        <w:rPr>
          <w:rFonts w:ascii="GHEA Grapalat" w:eastAsia="GHEA Grapalat" w:hAnsi="GHEA Grapalat" w:cs="GHEA Grapalat"/>
          <w:b/>
          <w:i/>
          <w:lang w:val="hy-AM" w:eastAsia="en-US"/>
        </w:rPr>
        <w:t>173,150</w:t>
      </w:r>
      <w:r w:rsidRPr="00661EAA">
        <w:rPr>
          <w:rFonts w:ascii="GHEA Grapalat" w:eastAsia="GHEA Grapalat" w:hAnsi="GHEA Grapalat" w:cs="GHEA Grapalat"/>
          <w:b/>
          <w:i/>
          <w:lang w:val="hy-AM" w:eastAsia="en-US"/>
        </w:rPr>
        <w:t xml:space="preserve"> (</w:t>
      </w:r>
      <w:r w:rsidR="00E82893">
        <w:rPr>
          <w:rFonts w:ascii="GHEA Grapalat" w:eastAsia="GHEA Grapalat" w:hAnsi="GHEA Grapalat" w:cs="GHEA Grapalat"/>
          <w:b/>
          <w:i/>
          <w:lang w:val="hy-AM" w:eastAsia="en-US"/>
        </w:rPr>
        <w:t>6.35</w:t>
      </w:r>
      <w:r w:rsidRPr="00661EAA">
        <w:rPr>
          <w:rFonts w:ascii="GHEA Grapalat" w:eastAsia="GHEA Grapalat" w:hAnsi="GHEA Grapalat" w:cs="GHEA Grapalat"/>
          <w:b/>
          <w:i/>
          <w:lang w:val="hy-AM" w:eastAsia="en-US"/>
        </w:rPr>
        <w:t xml:space="preserve">%) թեստավորում, </w:t>
      </w:r>
      <w:r w:rsidR="00E82893">
        <w:rPr>
          <w:rFonts w:ascii="GHEA Grapalat" w:eastAsia="GHEA Grapalat" w:hAnsi="GHEA Grapalat" w:cs="GHEA Grapalat"/>
          <w:b/>
          <w:i/>
          <w:lang w:val="hy-AM" w:eastAsia="en-US"/>
        </w:rPr>
        <w:t>204</w:t>
      </w:r>
      <w:r w:rsidR="00E82893" w:rsidRPr="00661EAA">
        <w:rPr>
          <w:rFonts w:ascii="GHEA Grapalat" w:eastAsia="GHEA Grapalat" w:hAnsi="GHEA Grapalat" w:cs="GHEA Grapalat"/>
          <w:b/>
          <w:i/>
          <w:lang w:val="hy-AM" w:eastAsia="en-US"/>
        </w:rPr>
        <w:t xml:space="preserve"> </w:t>
      </w:r>
      <w:r w:rsidRPr="00661EAA">
        <w:rPr>
          <w:rFonts w:ascii="GHEA Grapalat" w:eastAsia="GHEA Grapalat" w:hAnsi="GHEA Grapalat" w:cs="GHEA Grapalat"/>
          <w:b/>
          <w:i/>
          <w:lang w:val="hy-AM" w:eastAsia="en-US"/>
        </w:rPr>
        <w:t>մահվան դեպք:</w:t>
      </w:r>
    </w:p>
    <w:p w:rsidR="001F69C8" w:rsidRPr="00661EAA" w:rsidRDefault="00E77588" w:rsidP="00251212">
      <w:pPr>
        <w:spacing w:line="360" w:lineRule="auto"/>
        <w:ind w:firstLine="720"/>
        <w:jc w:val="both"/>
        <w:rPr>
          <w:rFonts w:ascii="GHEA Grapalat" w:eastAsia="GHEA Grapalat" w:hAnsi="GHEA Grapalat" w:cs="GHEA Grapalat"/>
          <w:lang w:val="hy-AM" w:eastAsia="en-US"/>
        </w:rPr>
      </w:pPr>
      <w:r w:rsidRPr="00E77588">
        <w:rPr>
          <w:rFonts w:ascii="GHEA Grapalat" w:eastAsia="GHEA Grapalat" w:hAnsi="GHEA Grapalat" w:cs="GHEA Grapalat"/>
          <w:lang w:val="hy-AM" w:eastAsia="en-US"/>
        </w:rPr>
        <w:t>Սեպտեմբերի վիճակագրական պատկերը հետևյալն է</w:t>
      </w:r>
      <w:r w:rsidR="001F69C8" w:rsidRPr="00661EAA">
        <w:rPr>
          <w:rFonts w:ascii="GHEA Grapalat" w:eastAsia="GHEA Grapalat" w:hAnsi="GHEA Grapalat" w:cs="GHEA Grapalat"/>
          <w:lang w:val="hy-AM" w:eastAsia="en-US"/>
        </w:rPr>
        <w:t>.</w:t>
      </w:r>
    </w:p>
    <w:p w:rsidR="001F69C8" w:rsidRPr="00661EAA" w:rsidRDefault="001F69C8"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lastRenderedPageBreak/>
        <w:t>1) առաջին շաբաթվա ընթացքում (</w:t>
      </w:r>
      <w:r w:rsidR="00E77588" w:rsidRPr="00E77588">
        <w:rPr>
          <w:rFonts w:ascii="GHEA Grapalat" w:eastAsia="GHEA Grapalat" w:hAnsi="GHEA Grapalat" w:cs="GHEA Grapalat"/>
          <w:lang w:val="hy-AM" w:eastAsia="en-US"/>
        </w:rPr>
        <w:t>30.08</w:t>
      </w:r>
      <w:r w:rsidRPr="00661EAA">
        <w:rPr>
          <w:rFonts w:ascii="GHEA Grapalat" w:eastAsia="GHEA Grapalat" w:hAnsi="GHEA Grapalat" w:cs="GHEA Grapalat"/>
          <w:lang w:val="hy-AM" w:eastAsia="en-US"/>
        </w:rPr>
        <w:t>-</w:t>
      </w:r>
      <w:r w:rsidR="00E77588" w:rsidRPr="00E77588">
        <w:rPr>
          <w:rFonts w:ascii="GHEA Grapalat" w:eastAsia="GHEA Grapalat" w:hAnsi="GHEA Grapalat" w:cs="GHEA Grapalat"/>
          <w:lang w:val="hy-AM" w:eastAsia="en-US"/>
        </w:rPr>
        <w:t>04</w:t>
      </w:r>
      <w:r w:rsidRPr="00661EAA">
        <w:rPr>
          <w:rFonts w:ascii="GHEA Grapalat" w:eastAsia="GHEA Grapalat" w:hAnsi="GHEA Grapalat" w:cs="GHEA Grapalat"/>
          <w:lang w:val="hy-AM" w:eastAsia="en-US"/>
        </w:rPr>
        <w:t>.0</w:t>
      </w:r>
      <w:r w:rsidR="00E77588" w:rsidRPr="00E77588">
        <w:rPr>
          <w:rFonts w:ascii="GHEA Grapalat" w:eastAsia="GHEA Grapalat" w:hAnsi="GHEA Grapalat" w:cs="GHEA Grapalat"/>
          <w:lang w:val="hy-AM" w:eastAsia="en-US"/>
        </w:rPr>
        <w:t>9</w:t>
      </w:r>
      <w:r w:rsidRPr="00661EAA">
        <w:rPr>
          <w:rFonts w:ascii="GHEA Grapalat" w:eastAsia="GHEA Grapalat" w:hAnsi="GHEA Grapalat" w:cs="GHEA Grapalat"/>
          <w:lang w:val="hy-AM" w:eastAsia="en-US"/>
        </w:rPr>
        <w:t xml:space="preserve">.2021թ.) կորոնավիրուսային հիվանդության հաստատված դեպքերի թիվը կազմել է </w:t>
      </w:r>
      <w:r w:rsidR="00E77588" w:rsidRPr="00E77588">
        <w:rPr>
          <w:rFonts w:ascii="GHEA Grapalat" w:eastAsia="GHEA Grapalat" w:hAnsi="GHEA Grapalat" w:cs="GHEA Grapalat"/>
          <w:lang w:val="hy-AM" w:eastAsia="en-US"/>
        </w:rPr>
        <w:t>3,414</w:t>
      </w:r>
      <w:r w:rsidRPr="00661EAA">
        <w:rPr>
          <w:rFonts w:ascii="GHEA Grapalat" w:eastAsia="GHEA Grapalat" w:hAnsi="GHEA Grapalat" w:cs="GHEA Grapalat"/>
          <w:lang w:val="hy-AM" w:eastAsia="en-US"/>
        </w:rPr>
        <w:t xml:space="preserve"> դեպք՝ կատարված </w:t>
      </w:r>
      <w:r w:rsidR="00E77588" w:rsidRPr="00E77588">
        <w:rPr>
          <w:rFonts w:ascii="GHEA Grapalat" w:eastAsia="GHEA Grapalat" w:hAnsi="GHEA Grapalat" w:cs="GHEA Grapalat"/>
          <w:lang w:val="hy-AM" w:eastAsia="en-US"/>
        </w:rPr>
        <w:t>34,671</w:t>
      </w:r>
      <w:r w:rsidRPr="00661EAA">
        <w:rPr>
          <w:rFonts w:ascii="GHEA Grapalat" w:eastAsia="GHEA Grapalat" w:hAnsi="GHEA Grapalat" w:cs="GHEA Grapalat"/>
          <w:lang w:val="hy-AM" w:eastAsia="en-US"/>
        </w:rPr>
        <w:t xml:space="preserve"> թեստավորումներից (</w:t>
      </w:r>
      <w:r w:rsidR="00E77588" w:rsidRPr="00E77588">
        <w:rPr>
          <w:rFonts w:ascii="GHEA Grapalat" w:eastAsia="GHEA Grapalat" w:hAnsi="GHEA Grapalat" w:cs="GHEA Grapalat"/>
          <w:lang w:val="hy-AM" w:eastAsia="en-US"/>
        </w:rPr>
        <w:t>9</w:t>
      </w:r>
      <w:r w:rsidRPr="00661EAA">
        <w:rPr>
          <w:rFonts w:ascii="GHEA Grapalat" w:eastAsia="GHEA Grapalat" w:hAnsi="GHEA Grapalat" w:cs="GHEA Grapalat"/>
          <w:lang w:val="hy-AM" w:eastAsia="en-US"/>
        </w:rPr>
        <w:t>.</w:t>
      </w:r>
      <w:r w:rsidR="00E77588" w:rsidRPr="00E77588">
        <w:rPr>
          <w:rFonts w:ascii="GHEA Grapalat" w:eastAsia="GHEA Grapalat" w:hAnsi="GHEA Grapalat" w:cs="GHEA Grapalat"/>
          <w:lang w:val="hy-AM" w:eastAsia="en-US"/>
        </w:rPr>
        <w:t>8</w:t>
      </w:r>
      <w:r w:rsidRPr="00661EAA">
        <w:rPr>
          <w:rFonts w:ascii="GHEA Grapalat" w:eastAsia="GHEA Grapalat" w:hAnsi="GHEA Grapalat" w:cs="GHEA Grapalat"/>
          <w:lang w:val="hy-AM" w:eastAsia="en-US"/>
        </w:rPr>
        <w:t xml:space="preserve">4%), իսկ մահվան դեպքերի թիվը՝ </w:t>
      </w:r>
      <w:r w:rsidR="00E77588" w:rsidRPr="00E77588">
        <w:rPr>
          <w:rFonts w:ascii="GHEA Grapalat" w:eastAsia="GHEA Grapalat" w:hAnsi="GHEA Grapalat" w:cs="GHEA Grapalat"/>
          <w:lang w:val="hy-AM" w:eastAsia="en-US"/>
        </w:rPr>
        <w:t>81</w:t>
      </w:r>
      <w:r w:rsidRPr="00661EAA">
        <w:rPr>
          <w:rFonts w:ascii="GHEA Grapalat" w:eastAsia="GHEA Grapalat" w:hAnsi="GHEA Grapalat" w:cs="GHEA Grapalat"/>
          <w:lang w:val="hy-AM" w:eastAsia="en-US"/>
        </w:rPr>
        <w:t>.</w:t>
      </w:r>
    </w:p>
    <w:p w:rsidR="001F69C8" w:rsidRPr="00661EAA" w:rsidRDefault="001F69C8"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2) երկրորդ շաբաթվա ընթացքում (0</w:t>
      </w:r>
      <w:r w:rsidR="00E77588" w:rsidRPr="00E77588">
        <w:rPr>
          <w:rFonts w:ascii="GHEA Grapalat" w:eastAsia="GHEA Grapalat" w:hAnsi="GHEA Grapalat" w:cs="GHEA Grapalat"/>
          <w:lang w:val="hy-AM" w:eastAsia="en-US"/>
        </w:rPr>
        <w:t>5</w:t>
      </w:r>
      <w:r w:rsidRPr="00661EAA">
        <w:rPr>
          <w:rFonts w:ascii="GHEA Grapalat" w:eastAsia="GHEA Grapalat" w:hAnsi="GHEA Grapalat" w:cs="GHEA Grapalat"/>
          <w:lang w:val="hy-AM" w:eastAsia="en-US"/>
        </w:rPr>
        <w:t>-</w:t>
      </w:r>
      <w:r w:rsidR="00E77588" w:rsidRPr="00E77588">
        <w:rPr>
          <w:rFonts w:ascii="GHEA Grapalat" w:eastAsia="GHEA Grapalat" w:hAnsi="GHEA Grapalat" w:cs="GHEA Grapalat"/>
          <w:lang w:val="hy-AM" w:eastAsia="en-US"/>
        </w:rPr>
        <w:t>11</w:t>
      </w:r>
      <w:r w:rsidRPr="00661EAA">
        <w:rPr>
          <w:rFonts w:ascii="GHEA Grapalat" w:eastAsia="GHEA Grapalat" w:hAnsi="GHEA Grapalat" w:cs="GHEA Grapalat"/>
          <w:lang w:val="hy-AM" w:eastAsia="en-US"/>
        </w:rPr>
        <w:t>.0</w:t>
      </w:r>
      <w:r w:rsidR="00E77588" w:rsidRPr="00E77588">
        <w:rPr>
          <w:rFonts w:ascii="GHEA Grapalat" w:eastAsia="GHEA Grapalat" w:hAnsi="GHEA Grapalat" w:cs="GHEA Grapalat"/>
          <w:lang w:val="hy-AM" w:eastAsia="en-US"/>
        </w:rPr>
        <w:t>9</w:t>
      </w:r>
      <w:r w:rsidRPr="00661EAA">
        <w:rPr>
          <w:rFonts w:ascii="GHEA Grapalat" w:eastAsia="GHEA Grapalat" w:hAnsi="GHEA Grapalat" w:cs="GHEA Grapalat"/>
          <w:lang w:val="hy-AM" w:eastAsia="en-US"/>
        </w:rPr>
        <w:t xml:space="preserve">.2021թ.) կորոնավիրուսային հիվանդության հաստատված դեպքերի թիվը կազմել է </w:t>
      </w:r>
      <w:r w:rsidR="00E77588" w:rsidRPr="00E77588">
        <w:rPr>
          <w:rFonts w:ascii="GHEA Grapalat" w:eastAsia="GHEA Grapalat" w:hAnsi="GHEA Grapalat" w:cs="GHEA Grapalat"/>
          <w:lang w:val="hy-AM" w:eastAsia="en-US"/>
        </w:rPr>
        <w:t>3,825</w:t>
      </w:r>
      <w:r w:rsidRPr="00661EAA">
        <w:rPr>
          <w:rFonts w:ascii="GHEA Grapalat" w:eastAsia="GHEA Grapalat" w:hAnsi="GHEA Grapalat" w:cs="GHEA Grapalat"/>
          <w:lang w:val="hy-AM" w:eastAsia="en-US"/>
        </w:rPr>
        <w:t xml:space="preserve"> դեպք՝ կատարված </w:t>
      </w:r>
      <w:r w:rsidR="00E77588" w:rsidRPr="00E77588">
        <w:rPr>
          <w:rFonts w:ascii="GHEA Grapalat" w:eastAsia="GHEA Grapalat" w:hAnsi="GHEA Grapalat" w:cs="GHEA Grapalat"/>
          <w:lang w:val="hy-AM" w:eastAsia="en-US"/>
        </w:rPr>
        <w:t>35,991</w:t>
      </w:r>
      <w:r w:rsidRPr="00661EAA">
        <w:rPr>
          <w:rFonts w:ascii="GHEA Grapalat" w:eastAsia="GHEA Grapalat" w:hAnsi="GHEA Grapalat" w:cs="GHEA Grapalat"/>
          <w:lang w:val="hy-AM" w:eastAsia="en-US"/>
        </w:rPr>
        <w:t xml:space="preserve"> թեստավորումներից (</w:t>
      </w:r>
      <w:r w:rsidR="00E77588" w:rsidRPr="00E77588">
        <w:rPr>
          <w:rFonts w:ascii="GHEA Grapalat" w:eastAsia="GHEA Grapalat" w:hAnsi="GHEA Grapalat" w:cs="GHEA Grapalat"/>
          <w:lang w:val="hy-AM" w:eastAsia="en-US"/>
        </w:rPr>
        <w:t>10</w:t>
      </w:r>
      <w:r w:rsidRPr="00661EAA">
        <w:rPr>
          <w:rFonts w:ascii="GHEA Grapalat" w:eastAsia="GHEA Grapalat" w:hAnsi="GHEA Grapalat" w:cs="GHEA Grapalat"/>
          <w:lang w:val="hy-AM" w:eastAsia="en-US"/>
        </w:rPr>
        <w:t>.</w:t>
      </w:r>
      <w:r w:rsidR="00E77588" w:rsidRPr="00E77588">
        <w:rPr>
          <w:rFonts w:ascii="GHEA Grapalat" w:eastAsia="GHEA Grapalat" w:hAnsi="GHEA Grapalat" w:cs="GHEA Grapalat"/>
          <w:lang w:val="hy-AM" w:eastAsia="en-US"/>
        </w:rPr>
        <w:t>62</w:t>
      </w:r>
      <w:r w:rsidRPr="00661EAA">
        <w:rPr>
          <w:rFonts w:ascii="GHEA Grapalat" w:eastAsia="GHEA Grapalat" w:hAnsi="GHEA Grapalat" w:cs="GHEA Grapalat"/>
          <w:lang w:val="hy-AM" w:eastAsia="en-US"/>
        </w:rPr>
        <w:t xml:space="preserve">%), իսկ մահվան դեպքերի թիվը՝ </w:t>
      </w:r>
      <w:r w:rsidR="00E77588" w:rsidRPr="00E77588">
        <w:rPr>
          <w:rFonts w:ascii="GHEA Grapalat" w:eastAsia="GHEA Grapalat" w:hAnsi="GHEA Grapalat" w:cs="GHEA Grapalat"/>
          <w:lang w:val="hy-AM" w:eastAsia="en-US"/>
        </w:rPr>
        <w:t>91</w:t>
      </w:r>
      <w:r w:rsidRPr="00661EAA">
        <w:rPr>
          <w:rFonts w:ascii="GHEA Grapalat" w:eastAsia="GHEA Grapalat" w:hAnsi="GHEA Grapalat" w:cs="GHEA Grapalat"/>
          <w:lang w:val="hy-AM" w:eastAsia="en-US"/>
        </w:rPr>
        <w:t>.</w:t>
      </w:r>
    </w:p>
    <w:p w:rsidR="001F69C8" w:rsidRPr="00661EAA" w:rsidRDefault="001F69C8"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3) երրորդ շաբաթվա ընթացքում (</w:t>
      </w:r>
      <w:r w:rsidR="00E77588" w:rsidRPr="00E77588">
        <w:rPr>
          <w:rFonts w:ascii="GHEA Grapalat" w:eastAsia="GHEA Grapalat" w:hAnsi="GHEA Grapalat" w:cs="GHEA Grapalat"/>
          <w:lang w:val="hy-AM" w:eastAsia="en-US"/>
        </w:rPr>
        <w:t>12</w:t>
      </w:r>
      <w:r w:rsidRPr="00661EAA">
        <w:rPr>
          <w:rFonts w:ascii="GHEA Grapalat" w:eastAsia="GHEA Grapalat" w:hAnsi="GHEA Grapalat" w:cs="GHEA Grapalat"/>
          <w:lang w:val="hy-AM" w:eastAsia="en-US"/>
        </w:rPr>
        <w:t>-</w:t>
      </w:r>
      <w:r w:rsidR="00E77588" w:rsidRPr="00E77588">
        <w:rPr>
          <w:rFonts w:ascii="GHEA Grapalat" w:eastAsia="GHEA Grapalat" w:hAnsi="GHEA Grapalat" w:cs="GHEA Grapalat"/>
          <w:lang w:val="hy-AM" w:eastAsia="en-US"/>
        </w:rPr>
        <w:t>18</w:t>
      </w:r>
      <w:r w:rsidRPr="00661EAA">
        <w:rPr>
          <w:rFonts w:ascii="GHEA Grapalat" w:eastAsia="GHEA Grapalat" w:hAnsi="GHEA Grapalat" w:cs="GHEA Grapalat"/>
          <w:lang w:val="hy-AM" w:eastAsia="en-US"/>
        </w:rPr>
        <w:t>.0</w:t>
      </w:r>
      <w:r w:rsidR="00E77588" w:rsidRPr="00E77588">
        <w:rPr>
          <w:rFonts w:ascii="GHEA Grapalat" w:eastAsia="GHEA Grapalat" w:hAnsi="GHEA Grapalat" w:cs="GHEA Grapalat"/>
          <w:lang w:val="hy-AM" w:eastAsia="en-US"/>
        </w:rPr>
        <w:t>9</w:t>
      </w:r>
      <w:r w:rsidRPr="00661EAA">
        <w:rPr>
          <w:rFonts w:ascii="GHEA Grapalat" w:eastAsia="GHEA Grapalat" w:hAnsi="GHEA Grapalat" w:cs="GHEA Grapalat"/>
          <w:lang w:val="hy-AM" w:eastAsia="en-US"/>
        </w:rPr>
        <w:t xml:space="preserve">.2021թ.) կորոնավիրուսային հիվանդության հաստատված դեպքերի թիվը կազմել է </w:t>
      </w:r>
      <w:r w:rsidR="00E77588" w:rsidRPr="00E77588">
        <w:rPr>
          <w:rFonts w:ascii="GHEA Grapalat" w:eastAsia="GHEA Grapalat" w:hAnsi="GHEA Grapalat" w:cs="GHEA Grapalat"/>
          <w:lang w:val="hy-AM" w:eastAsia="en-US"/>
        </w:rPr>
        <w:t>4</w:t>
      </w:r>
      <w:r w:rsidRPr="00661EAA">
        <w:rPr>
          <w:rFonts w:ascii="GHEA Grapalat" w:eastAsia="GHEA Grapalat" w:hAnsi="GHEA Grapalat" w:cs="GHEA Grapalat"/>
          <w:lang w:val="hy-AM" w:eastAsia="en-US"/>
        </w:rPr>
        <w:t>,</w:t>
      </w:r>
      <w:r w:rsidR="00E77588" w:rsidRPr="00E77588">
        <w:rPr>
          <w:rFonts w:ascii="GHEA Grapalat" w:eastAsia="GHEA Grapalat" w:hAnsi="GHEA Grapalat" w:cs="GHEA Grapalat"/>
          <w:lang w:val="hy-AM" w:eastAsia="en-US"/>
        </w:rPr>
        <w:t>750</w:t>
      </w:r>
      <w:r w:rsidRPr="00661EAA">
        <w:rPr>
          <w:rFonts w:ascii="GHEA Grapalat" w:eastAsia="GHEA Grapalat" w:hAnsi="GHEA Grapalat" w:cs="GHEA Grapalat"/>
          <w:lang w:val="hy-AM" w:eastAsia="en-US"/>
        </w:rPr>
        <w:t xml:space="preserve"> դեպք՝ կատարված </w:t>
      </w:r>
      <w:r w:rsidR="00E77588" w:rsidRPr="00E77588">
        <w:rPr>
          <w:rFonts w:ascii="GHEA Grapalat" w:eastAsia="GHEA Grapalat" w:hAnsi="GHEA Grapalat" w:cs="GHEA Grapalat"/>
          <w:lang w:val="hy-AM" w:eastAsia="en-US"/>
        </w:rPr>
        <w:t>34,033</w:t>
      </w:r>
      <w:r w:rsidRPr="00661EAA">
        <w:rPr>
          <w:rFonts w:ascii="GHEA Grapalat" w:eastAsia="GHEA Grapalat" w:hAnsi="GHEA Grapalat" w:cs="GHEA Grapalat"/>
          <w:lang w:val="hy-AM" w:eastAsia="en-US"/>
        </w:rPr>
        <w:t xml:space="preserve"> թեստավորումներից (</w:t>
      </w:r>
      <w:r w:rsidR="00E77588" w:rsidRPr="00E77588">
        <w:rPr>
          <w:rFonts w:ascii="GHEA Grapalat" w:eastAsia="GHEA Grapalat" w:hAnsi="GHEA Grapalat" w:cs="GHEA Grapalat"/>
          <w:lang w:val="hy-AM" w:eastAsia="en-US"/>
        </w:rPr>
        <w:t>13.95</w:t>
      </w:r>
      <w:r w:rsidRPr="00661EAA">
        <w:rPr>
          <w:rFonts w:ascii="GHEA Grapalat" w:eastAsia="GHEA Grapalat" w:hAnsi="GHEA Grapalat" w:cs="GHEA Grapalat"/>
          <w:lang w:val="hy-AM" w:eastAsia="en-US"/>
        </w:rPr>
        <w:t xml:space="preserve">%), իսկ մահվան դեպքերի թիվը՝ </w:t>
      </w:r>
      <w:r w:rsidR="00E77588" w:rsidRPr="00E77588">
        <w:rPr>
          <w:rFonts w:ascii="GHEA Grapalat" w:eastAsia="GHEA Grapalat" w:hAnsi="GHEA Grapalat" w:cs="GHEA Grapalat"/>
          <w:lang w:val="hy-AM" w:eastAsia="en-US"/>
        </w:rPr>
        <w:t>129</w:t>
      </w:r>
      <w:r w:rsidRPr="00661EAA">
        <w:rPr>
          <w:rFonts w:ascii="GHEA Grapalat" w:eastAsia="GHEA Grapalat" w:hAnsi="GHEA Grapalat" w:cs="GHEA Grapalat"/>
          <w:lang w:val="hy-AM" w:eastAsia="en-US"/>
        </w:rPr>
        <w:t>.</w:t>
      </w:r>
    </w:p>
    <w:p w:rsidR="001F69C8" w:rsidRPr="00661EAA" w:rsidRDefault="001F69C8"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xml:space="preserve">4) </w:t>
      </w:r>
      <w:r w:rsidRPr="0043566D">
        <w:rPr>
          <w:rFonts w:ascii="GHEA Grapalat" w:eastAsia="GHEA Grapalat" w:hAnsi="GHEA Grapalat" w:cs="GHEA Grapalat"/>
          <w:lang w:val="hy-AM" w:eastAsia="en-US"/>
        </w:rPr>
        <w:t>չորրորդ</w:t>
      </w:r>
      <w:r w:rsidRPr="00661EAA">
        <w:rPr>
          <w:rFonts w:ascii="GHEA Grapalat" w:eastAsia="GHEA Grapalat" w:hAnsi="GHEA Grapalat" w:cs="GHEA Grapalat"/>
          <w:lang w:val="hy-AM" w:eastAsia="en-US"/>
        </w:rPr>
        <w:t xml:space="preserve"> շաբաթվա կեսի դրությամբ (</w:t>
      </w:r>
      <w:r w:rsidR="00E77588" w:rsidRPr="00E77588">
        <w:rPr>
          <w:rFonts w:ascii="GHEA Grapalat" w:eastAsia="GHEA Grapalat" w:hAnsi="GHEA Grapalat" w:cs="GHEA Grapalat"/>
          <w:lang w:val="hy-AM" w:eastAsia="en-US"/>
        </w:rPr>
        <w:t>19</w:t>
      </w:r>
      <w:r w:rsidRPr="00661EAA">
        <w:rPr>
          <w:rFonts w:ascii="GHEA Grapalat" w:eastAsia="GHEA Grapalat" w:hAnsi="GHEA Grapalat" w:cs="GHEA Grapalat"/>
          <w:lang w:val="hy-AM" w:eastAsia="en-US"/>
        </w:rPr>
        <w:t>-2</w:t>
      </w:r>
      <w:r w:rsidR="00E77588" w:rsidRPr="00E77588">
        <w:rPr>
          <w:rFonts w:ascii="GHEA Grapalat" w:eastAsia="GHEA Grapalat" w:hAnsi="GHEA Grapalat" w:cs="GHEA Grapalat"/>
          <w:lang w:val="hy-AM" w:eastAsia="en-US"/>
        </w:rPr>
        <w:t>6</w:t>
      </w:r>
      <w:r w:rsidRPr="00661EAA">
        <w:rPr>
          <w:rFonts w:ascii="GHEA Grapalat" w:eastAsia="GHEA Grapalat" w:hAnsi="GHEA Grapalat" w:cs="GHEA Grapalat"/>
          <w:lang w:val="hy-AM" w:eastAsia="en-US"/>
        </w:rPr>
        <w:t>.0</w:t>
      </w:r>
      <w:r w:rsidR="00E77588" w:rsidRPr="00E77588">
        <w:rPr>
          <w:rFonts w:ascii="GHEA Grapalat" w:eastAsia="GHEA Grapalat" w:hAnsi="GHEA Grapalat" w:cs="GHEA Grapalat"/>
          <w:lang w:val="hy-AM" w:eastAsia="en-US"/>
        </w:rPr>
        <w:t>9</w:t>
      </w:r>
      <w:r w:rsidRPr="00661EAA">
        <w:rPr>
          <w:rFonts w:ascii="GHEA Grapalat" w:eastAsia="GHEA Grapalat" w:hAnsi="GHEA Grapalat" w:cs="GHEA Grapalat"/>
          <w:lang w:val="hy-AM" w:eastAsia="en-US"/>
        </w:rPr>
        <w:t xml:space="preserve">.2021թ.) կորոնավիրուսային հիվանդության հաստատված դեպքերի թիվը կազմել է </w:t>
      </w:r>
      <w:r w:rsidR="00E77588" w:rsidRPr="00E77588">
        <w:rPr>
          <w:rFonts w:ascii="GHEA Grapalat" w:eastAsia="GHEA Grapalat" w:hAnsi="GHEA Grapalat" w:cs="GHEA Grapalat"/>
          <w:lang w:val="hy-AM" w:eastAsia="en-US"/>
        </w:rPr>
        <w:t>5,407</w:t>
      </w:r>
      <w:r w:rsidRPr="00661EAA">
        <w:rPr>
          <w:rFonts w:ascii="GHEA Grapalat" w:eastAsia="GHEA Grapalat" w:hAnsi="GHEA Grapalat" w:cs="GHEA Grapalat"/>
          <w:lang w:val="hy-AM" w:eastAsia="en-US"/>
        </w:rPr>
        <w:t xml:space="preserve"> դեպք՝ կատարված </w:t>
      </w:r>
      <w:r w:rsidR="00E77588" w:rsidRPr="00E77588">
        <w:rPr>
          <w:rFonts w:ascii="GHEA Grapalat" w:eastAsia="GHEA Grapalat" w:hAnsi="GHEA Grapalat" w:cs="GHEA Grapalat"/>
          <w:lang w:val="hy-AM" w:eastAsia="en-US"/>
        </w:rPr>
        <w:t>36,962</w:t>
      </w:r>
      <w:r w:rsidRPr="00661EAA">
        <w:rPr>
          <w:rFonts w:ascii="GHEA Grapalat" w:eastAsia="GHEA Grapalat" w:hAnsi="GHEA Grapalat" w:cs="GHEA Grapalat"/>
          <w:lang w:val="hy-AM" w:eastAsia="en-US"/>
        </w:rPr>
        <w:t xml:space="preserve"> թեստավորումներից (</w:t>
      </w:r>
      <w:r w:rsidR="00E77588" w:rsidRPr="00E77588">
        <w:rPr>
          <w:rFonts w:ascii="GHEA Grapalat" w:eastAsia="GHEA Grapalat" w:hAnsi="GHEA Grapalat" w:cs="GHEA Grapalat"/>
          <w:lang w:val="hy-AM" w:eastAsia="en-US"/>
        </w:rPr>
        <w:t>14.62</w:t>
      </w:r>
      <w:r w:rsidRPr="00661EAA">
        <w:rPr>
          <w:rFonts w:ascii="GHEA Grapalat" w:eastAsia="GHEA Grapalat" w:hAnsi="GHEA Grapalat" w:cs="GHEA Grapalat"/>
          <w:lang w:val="hy-AM" w:eastAsia="en-US"/>
        </w:rPr>
        <w:t xml:space="preserve">%), իսկ մահվան դեպքերի թիվը՝ </w:t>
      </w:r>
      <w:r w:rsidR="00E77588" w:rsidRPr="00E77588">
        <w:rPr>
          <w:rFonts w:ascii="GHEA Grapalat" w:eastAsia="GHEA Grapalat" w:hAnsi="GHEA Grapalat" w:cs="GHEA Grapalat"/>
          <w:lang w:val="hy-AM" w:eastAsia="en-US"/>
        </w:rPr>
        <w:t>133</w:t>
      </w:r>
      <w:r w:rsidRPr="00661EAA">
        <w:rPr>
          <w:rFonts w:ascii="GHEA Grapalat" w:eastAsia="GHEA Grapalat" w:hAnsi="GHEA Grapalat" w:cs="GHEA Grapalat"/>
          <w:lang w:val="hy-AM" w:eastAsia="en-US"/>
        </w:rPr>
        <w:t>:</w:t>
      </w:r>
    </w:p>
    <w:p w:rsidR="001F69C8" w:rsidRPr="00D04A3B" w:rsidRDefault="001F69C8" w:rsidP="00251212">
      <w:pPr>
        <w:spacing w:line="360" w:lineRule="auto"/>
        <w:ind w:firstLine="720"/>
        <w:jc w:val="both"/>
        <w:rPr>
          <w:rFonts w:ascii="GHEA Grapalat" w:eastAsia="GHEA Grapalat" w:hAnsi="GHEA Grapalat" w:cs="GHEA Grapalat"/>
          <w:b/>
          <w:i/>
          <w:lang w:val="hy-AM" w:eastAsia="en-US"/>
        </w:rPr>
      </w:pPr>
      <w:r w:rsidRPr="00661EAA">
        <w:rPr>
          <w:rFonts w:ascii="GHEA Grapalat" w:eastAsia="GHEA Grapalat" w:hAnsi="GHEA Grapalat" w:cs="GHEA Grapalat"/>
          <w:b/>
          <w:i/>
          <w:lang w:val="hy-AM" w:eastAsia="en-US"/>
        </w:rPr>
        <w:t xml:space="preserve">Ընդամենը՝ </w:t>
      </w:r>
      <w:r w:rsidR="00E77588" w:rsidRPr="00E77588">
        <w:rPr>
          <w:rFonts w:ascii="GHEA Grapalat" w:eastAsia="GHEA Grapalat" w:hAnsi="GHEA Grapalat" w:cs="GHEA Grapalat"/>
          <w:b/>
          <w:i/>
          <w:lang w:val="hy-AM" w:eastAsia="en-US"/>
        </w:rPr>
        <w:t>17,396</w:t>
      </w:r>
      <w:r w:rsidRPr="00661EAA">
        <w:rPr>
          <w:rFonts w:ascii="GHEA Grapalat" w:eastAsia="GHEA Grapalat" w:hAnsi="GHEA Grapalat" w:cs="GHEA Grapalat"/>
          <w:b/>
          <w:i/>
          <w:lang w:val="hy-AM" w:eastAsia="en-US"/>
        </w:rPr>
        <w:t xml:space="preserve"> դեպք, </w:t>
      </w:r>
      <w:r w:rsidR="00E77588" w:rsidRPr="00E77588">
        <w:rPr>
          <w:rFonts w:ascii="GHEA Grapalat" w:eastAsia="GHEA Grapalat" w:hAnsi="GHEA Grapalat" w:cs="GHEA Grapalat"/>
          <w:b/>
          <w:i/>
          <w:lang w:val="hy-AM" w:eastAsia="en-US"/>
        </w:rPr>
        <w:t>141,657</w:t>
      </w:r>
      <w:r w:rsidRPr="00661EAA">
        <w:rPr>
          <w:rFonts w:ascii="GHEA Grapalat" w:eastAsia="GHEA Grapalat" w:hAnsi="GHEA Grapalat" w:cs="GHEA Grapalat"/>
          <w:b/>
          <w:i/>
          <w:lang w:val="hy-AM" w:eastAsia="en-US"/>
        </w:rPr>
        <w:t xml:space="preserve"> (</w:t>
      </w:r>
      <w:r w:rsidR="00E77588" w:rsidRPr="00E77588">
        <w:rPr>
          <w:rFonts w:ascii="GHEA Grapalat" w:eastAsia="GHEA Grapalat" w:hAnsi="GHEA Grapalat" w:cs="GHEA Grapalat"/>
          <w:b/>
          <w:i/>
          <w:lang w:val="hy-AM" w:eastAsia="en-US"/>
        </w:rPr>
        <w:t>12</w:t>
      </w:r>
      <w:r>
        <w:rPr>
          <w:rFonts w:ascii="GHEA Grapalat" w:eastAsia="GHEA Grapalat" w:hAnsi="GHEA Grapalat" w:cs="GHEA Grapalat"/>
          <w:b/>
          <w:i/>
          <w:lang w:val="hy-AM" w:eastAsia="en-US"/>
        </w:rPr>
        <w:t>.</w:t>
      </w:r>
      <w:r w:rsidR="00E77588" w:rsidRPr="00E77588">
        <w:rPr>
          <w:rFonts w:ascii="GHEA Grapalat" w:eastAsia="GHEA Grapalat" w:hAnsi="GHEA Grapalat" w:cs="GHEA Grapalat"/>
          <w:b/>
          <w:i/>
          <w:lang w:val="hy-AM" w:eastAsia="en-US"/>
        </w:rPr>
        <w:t>28</w:t>
      </w:r>
      <w:r w:rsidRPr="00661EAA">
        <w:rPr>
          <w:rFonts w:ascii="GHEA Grapalat" w:eastAsia="GHEA Grapalat" w:hAnsi="GHEA Grapalat" w:cs="GHEA Grapalat"/>
          <w:b/>
          <w:i/>
          <w:lang w:val="hy-AM" w:eastAsia="en-US"/>
        </w:rPr>
        <w:t xml:space="preserve">%) թեստավորում, </w:t>
      </w:r>
      <w:r w:rsidR="00E77588" w:rsidRPr="00E77588">
        <w:rPr>
          <w:rFonts w:ascii="GHEA Grapalat" w:eastAsia="GHEA Grapalat" w:hAnsi="GHEA Grapalat" w:cs="GHEA Grapalat"/>
          <w:b/>
          <w:i/>
          <w:lang w:val="hy-AM" w:eastAsia="en-US"/>
        </w:rPr>
        <w:t>434</w:t>
      </w:r>
      <w:r w:rsidRPr="00661EAA">
        <w:rPr>
          <w:rFonts w:ascii="GHEA Grapalat" w:eastAsia="GHEA Grapalat" w:hAnsi="GHEA Grapalat" w:cs="GHEA Grapalat"/>
          <w:b/>
          <w:i/>
          <w:lang w:val="hy-AM" w:eastAsia="en-US"/>
        </w:rPr>
        <w:t xml:space="preserve"> մահվան դեպք:</w:t>
      </w:r>
    </w:p>
    <w:p w:rsidR="0065243E" w:rsidRPr="00661EAA" w:rsidRDefault="0065243E"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Իր հերթին, 2021թ. հուլիս ամսին ընդհանուր պատկերը եղել է հետևյալը.</w:t>
      </w:r>
    </w:p>
    <w:p w:rsidR="0065243E" w:rsidRPr="00661EAA" w:rsidRDefault="0065243E"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հաստատված դեպքեր՝ 5,118</w:t>
      </w:r>
    </w:p>
    <w:p w:rsidR="0065243E" w:rsidRPr="00661EAA" w:rsidRDefault="0065243E"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կատարված թեստավորումներ՝ 152,295</w:t>
      </w:r>
    </w:p>
    <w:p w:rsidR="0065243E" w:rsidRPr="00D04A3B" w:rsidRDefault="0065243E" w:rsidP="00251212">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մահվան դեպքեր՝ 102:</w:t>
      </w:r>
    </w:p>
    <w:p w:rsidR="00B80DAD" w:rsidRPr="00D04A3B" w:rsidRDefault="00B80DAD" w:rsidP="0065243E">
      <w:pPr>
        <w:spacing w:line="360" w:lineRule="auto"/>
        <w:ind w:firstLine="560"/>
        <w:jc w:val="both"/>
        <w:rPr>
          <w:rFonts w:ascii="GHEA Grapalat" w:eastAsia="GHEA Grapalat" w:hAnsi="GHEA Grapalat" w:cs="GHEA Grapalat"/>
          <w:lang w:val="hy-AM" w:eastAsia="en-US"/>
        </w:rPr>
      </w:pPr>
    </w:p>
    <w:p w:rsidR="00B80DAD" w:rsidRPr="00251212" w:rsidRDefault="00B80DAD" w:rsidP="0065243E">
      <w:pPr>
        <w:spacing w:line="360" w:lineRule="auto"/>
        <w:ind w:firstLine="560"/>
        <w:jc w:val="both"/>
        <w:rPr>
          <w:rFonts w:ascii="GHEA Grapalat" w:eastAsia="GHEA Grapalat" w:hAnsi="GHEA Grapalat" w:cs="GHEA Grapalat"/>
          <w:b/>
          <w:lang w:val="hy-AM" w:eastAsia="en-US"/>
        </w:rPr>
      </w:pPr>
      <w:r w:rsidRPr="00251212">
        <w:rPr>
          <w:rFonts w:ascii="GHEA Grapalat" w:eastAsia="GHEA Grapalat" w:hAnsi="GHEA Grapalat" w:cs="GHEA Grapalat"/>
          <w:b/>
          <w:lang w:val="hy-AM" w:eastAsia="en-US"/>
        </w:rPr>
        <w:t>Օգոստոս.</w:t>
      </w:r>
    </w:p>
    <w:p w:rsidR="0065243E" w:rsidRPr="00661EAA" w:rsidRDefault="0065243E" w:rsidP="0065243E">
      <w:pPr>
        <w:spacing w:line="360" w:lineRule="auto"/>
        <w:ind w:firstLine="560"/>
        <w:jc w:val="both"/>
        <w:rPr>
          <w:rFonts w:ascii="GHEA Grapalat" w:eastAsia="GHEA Grapalat" w:hAnsi="GHEA Grapalat" w:cs="GHEA Grapalat"/>
          <w:lang w:val="en-US" w:eastAsia="en-US"/>
        </w:rPr>
      </w:pPr>
      <w:r w:rsidRPr="00661EAA">
        <w:rPr>
          <w:rFonts w:ascii="GHEA Grapalat" w:eastAsia="GHEA Grapalat" w:hAnsi="GHEA Grapalat" w:cs="GHEA Grapalat"/>
          <w:noProof/>
        </w:rPr>
        <w:drawing>
          <wp:inline distT="0" distB="0" distL="0" distR="0">
            <wp:extent cx="4737735" cy="316801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5243E" w:rsidRPr="0087639F" w:rsidRDefault="0087639F" w:rsidP="0065243E">
      <w:pPr>
        <w:spacing w:line="360" w:lineRule="auto"/>
        <w:ind w:firstLine="560"/>
        <w:jc w:val="both"/>
        <w:rPr>
          <w:rFonts w:ascii="GHEA Grapalat" w:eastAsia="GHEA Grapalat" w:hAnsi="GHEA Grapalat" w:cs="GHEA Grapalat"/>
          <w:b/>
          <w:bCs/>
          <w:lang w:val="en-US" w:eastAsia="en-US"/>
        </w:rPr>
      </w:pPr>
      <w:r w:rsidRPr="0087639F">
        <w:rPr>
          <w:rFonts w:ascii="GHEA Grapalat" w:eastAsia="GHEA Grapalat" w:hAnsi="GHEA Grapalat" w:cs="GHEA Grapalat"/>
          <w:b/>
          <w:bCs/>
          <w:lang w:val="en-US" w:eastAsia="en-US"/>
        </w:rPr>
        <w:lastRenderedPageBreak/>
        <w:t>Սեպտեմբեր.</w:t>
      </w:r>
    </w:p>
    <w:p w:rsidR="0087639F" w:rsidRPr="0087639F" w:rsidRDefault="0087639F" w:rsidP="0065243E">
      <w:pPr>
        <w:spacing w:line="360" w:lineRule="auto"/>
        <w:ind w:firstLine="560"/>
        <w:jc w:val="both"/>
        <w:rPr>
          <w:rFonts w:ascii="GHEA Grapalat" w:eastAsia="GHEA Grapalat" w:hAnsi="GHEA Grapalat" w:cs="GHEA Grapalat"/>
          <w:lang w:val="en-US" w:eastAsia="en-US"/>
        </w:rPr>
      </w:pPr>
      <w:r w:rsidRPr="00661EAA">
        <w:rPr>
          <w:rFonts w:ascii="GHEA Grapalat" w:eastAsia="GHEA Grapalat" w:hAnsi="GHEA Grapalat" w:cs="GHEA Grapalat"/>
          <w:noProof/>
        </w:rPr>
        <w:drawing>
          <wp:inline distT="0" distB="0" distL="0" distR="0">
            <wp:extent cx="4737735" cy="316801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0DAD" w:rsidRDefault="0087639F">
      <w:pPr>
        <w:spacing w:after="160" w:line="259" w:lineRule="auto"/>
        <w:rPr>
          <w:rFonts w:ascii="GHEA Grapalat" w:eastAsia="GHEA Grapalat" w:hAnsi="GHEA Grapalat" w:cs="GHEA Grapalat"/>
          <w:lang w:val="en-US" w:eastAsia="en-US"/>
        </w:rPr>
      </w:pPr>
      <w:r w:rsidRPr="00661EAA">
        <w:rPr>
          <w:rFonts w:ascii="GHEA Grapalat" w:eastAsia="GHEA Grapalat" w:hAnsi="GHEA Grapalat" w:cs="GHEA Grapalat"/>
          <w:noProof/>
        </w:rPr>
        <w:drawing>
          <wp:inline distT="0" distB="0" distL="0" distR="0">
            <wp:extent cx="5140960" cy="342011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80DAD">
        <w:rPr>
          <w:rFonts w:ascii="GHEA Grapalat" w:eastAsia="GHEA Grapalat" w:hAnsi="GHEA Grapalat" w:cs="GHEA Grapalat"/>
          <w:lang w:val="en-US" w:eastAsia="en-US"/>
        </w:rPr>
        <w:br w:type="page"/>
      </w:r>
    </w:p>
    <w:p w:rsidR="0065243E" w:rsidRPr="00661EAA" w:rsidRDefault="0065243E" w:rsidP="0084045B">
      <w:pPr>
        <w:spacing w:line="360" w:lineRule="auto"/>
        <w:ind w:firstLine="720"/>
        <w:jc w:val="both"/>
        <w:rPr>
          <w:rFonts w:ascii="GHEA Grapalat" w:eastAsia="GHEA Grapalat" w:hAnsi="GHEA Grapalat" w:cs="GHEA Grapalat"/>
          <w:lang w:val="en-US" w:eastAsia="en-US"/>
        </w:rPr>
      </w:pPr>
      <w:r w:rsidRPr="00661EAA">
        <w:rPr>
          <w:rFonts w:ascii="GHEA Grapalat" w:eastAsia="GHEA Grapalat" w:hAnsi="GHEA Grapalat" w:cs="GHEA Grapalat"/>
          <w:lang w:val="en-US" w:eastAsia="en-US"/>
        </w:rPr>
        <w:lastRenderedPageBreak/>
        <w:t>Վերոգրյալ թվերի աճի համատեքստում</w:t>
      </w:r>
      <w:r w:rsidR="00890137">
        <w:rPr>
          <w:rFonts w:ascii="GHEA Grapalat" w:eastAsia="GHEA Grapalat" w:hAnsi="GHEA Grapalat" w:cs="GHEA Grapalat"/>
          <w:lang w:val="en-US" w:eastAsia="en-US"/>
        </w:rPr>
        <w:t xml:space="preserve"> կարելի է նկատել, որ</w:t>
      </w:r>
      <w:r w:rsidRPr="00661EAA">
        <w:rPr>
          <w:rFonts w:ascii="GHEA Grapalat" w:eastAsia="GHEA Grapalat" w:hAnsi="GHEA Grapalat" w:cs="GHEA Grapalat"/>
          <w:lang w:val="en-US" w:eastAsia="en-US"/>
        </w:rPr>
        <w:t xml:space="preserve"> Առողջապահության համաշխարհային </w:t>
      </w:r>
      <w:r w:rsidR="00ED4B41">
        <w:rPr>
          <w:rFonts w:ascii="GHEA Grapalat" w:eastAsia="GHEA Grapalat" w:hAnsi="GHEA Grapalat" w:cs="GHEA Grapalat"/>
          <w:lang w:val="en-US" w:eastAsia="en-US"/>
        </w:rPr>
        <w:t>կազմակերպությա</w:t>
      </w:r>
      <w:r w:rsidRPr="00661EAA">
        <w:rPr>
          <w:rFonts w:ascii="GHEA Grapalat" w:eastAsia="GHEA Grapalat" w:hAnsi="GHEA Grapalat" w:cs="GHEA Grapalat"/>
          <w:lang w:val="en-US" w:eastAsia="en-US"/>
        </w:rPr>
        <w:t>ն (այ</w:t>
      </w:r>
      <w:r w:rsidR="00D31070" w:rsidRPr="00661EAA">
        <w:rPr>
          <w:rFonts w:ascii="GHEA Grapalat" w:eastAsia="GHEA Grapalat" w:hAnsi="GHEA Grapalat" w:cs="GHEA Grapalat"/>
          <w:lang w:val="en-US" w:eastAsia="en-US"/>
        </w:rPr>
        <w:t>ս</w:t>
      </w:r>
      <w:r w:rsidRPr="00661EAA">
        <w:rPr>
          <w:rFonts w:ascii="GHEA Grapalat" w:eastAsia="GHEA Grapalat" w:hAnsi="GHEA Grapalat" w:cs="GHEA Grapalat"/>
          <w:lang w:val="en-US" w:eastAsia="en-US"/>
        </w:rPr>
        <w:t>ուհետ՝ ԱՀԿ</w:t>
      </w:r>
      <w:r w:rsidR="00ED4B41">
        <w:rPr>
          <w:rFonts w:ascii="GHEA Grapalat" w:eastAsia="GHEA Grapalat" w:hAnsi="GHEA Grapalat" w:cs="GHEA Grapalat"/>
          <w:lang w:val="en-US" w:eastAsia="en-US"/>
        </w:rPr>
        <w:t>)</w:t>
      </w:r>
      <w:r w:rsidRPr="00661EAA">
        <w:rPr>
          <w:rFonts w:ascii="GHEA Grapalat" w:eastAsia="GHEA Grapalat" w:hAnsi="GHEA Grapalat" w:cs="GHEA Grapalat"/>
          <w:lang w:val="en-US" w:eastAsia="en-US"/>
        </w:rPr>
        <w:t xml:space="preserve"> զգուշաց</w:t>
      </w:r>
      <w:r w:rsidR="00ED4B41">
        <w:rPr>
          <w:rFonts w:ascii="GHEA Grapalat" w:eastAsia="GHEA Grapalat" w:hAnsi="GHEA Grapalat" w:cs="GHEA Grapalat"/>
          <w:lang w:val="en-US" w:eastAsia="en-US"/>
        </w:rPr>
        <w:t>ր</w:t>
      </w:r>
      <w:r w:rsidR="00890137">
        <w:rPr>
          <w:rFonts w:ascii="GHEA Grapalat" w:eastAsia="GHEA Grapalat" w:hAnsi="GHEA Grapalat" w:cs="GHEA Grapalat"/>
          <w:lang w:val="en-US" w:eastAsia="en-US"/>
        </w:rPr>
        <w:t>ած՝</w:t>
      </w:r>
      <w:r w:rsidRPr="00661EAA">
        <w:rPr>
          <w:rFonts w:ascii="GHEA Grapalat" w:eastAsia="GHEA Grapalat" w:hAnsi="GHEA Grapalat" w:cs="GHEA Grapalat"/>
          <w:lang w:val="en-US" w:eastAsia="en-US"/>
        </w:rPr>
        <w:t xml:space="preserve"> աշնանը աշխարհում կորոնավիրուսային հիվանդության նոր ալիք</w:t>
      </w:r>
      <w:r w:rsidR="00890137">
        <w:rPr>
          <w:rFonts w:ascii="GHEA Grapalat" w:eastAsia="GHEA Grapalat" w:hAnsi="GHEA Grapalat" w:cs="GHEA Grapalat"/>
          <w:lang w:val="en-US" w:eastAsia="en-US"/>
        </w:rPr>
        <w:t>ն, ըստ էության, արդ</w:t>
      </w:r>
      <w:r w:rsidR="00ED4B41">
        <w:rPr>
          <w:rFonts w:ascii="GHEA Grapalat" w:eastAsia="GHEA Grapalat" w:hAnsi="GHEA Grapalat" w:cs="GHEA Grapalat"/>
          <w:lang w:val="en-US" w:eastAsia="en-US"/>
        </w:rPr>
        <w:t>են սկսվել է: Իր հերթին, նույն հայտարարությամբ ԱՀԿ-ն</w:t>
      </w:r>
      <w:r w:rsidRPr="00661EAA">
        <w:rPr>
          <w:rFonts w:ascii="GHEA Grapalat" w:eastAsia="GHEA Grapalat" w:hAnsi="GHEA Grapalat" w:cs="GHEA Grapalat"/>
          <w:lang w:val="en-US" w:eastAsia="en-US"/>
        </w:rPr>
        <w:t xml:space="preserve"> խորհուրդ</w:t>
      </w:r>
      <w:r w:rsidR="00ED4B41">
        <w:rPr>
          <w:rFonts w:ascii="GHEA Grapalat" w:eastAsia="GHEA Grapalat" w:hAnsi="GHEA Grapalat" w:cs="GHEA Grapalat"/>
          <w:lang w:val="en-US" w:eastAsia="en-US"/>
        </w:rPr>
        <w:t xml:space="preserve"> է</w:t>
      </w:r>
      <w:r w:rsidRPr="00661EAA">
        <w:rPr>
          <w:rFonts w:ascii="GHEA Grapalat" w:eastAsia="GHEA Grapalat" w:hAnsi="GHEA Grapalat" w:cs="GHEA Grapalat"/>
          <w:lang w:val="en-US" w:eastAsia="en-US"/>
        </w:rPr>
        <w:t xml:space="preserve"> </w:t>
      </w:r>
      <w:r w:rsidR="00FC6B83">
        <w:rPr>
          <w:rFonts w:ascii="GHEA Grapalat" w:eastAsia="GHEA Grapalat" w:hAnsi="GHEA Grapalat" w:cs="GHEA Grapalat"/>
          <w:lang w:val="en-US" w:eastAsia="en-US"/>
        </w:rPr>
        <w:t>տվել</w:t>
      </w:r>
      <w:r w:rsidRPr="00661EAA">
        <w:rPr>
          <w:rFonts w:ascii="GHEA Grapalat" w:eastAsia="GHEA Grapalat" w:hAnsi="GHEA Grapalat" w:cs="GHEA Grapalat"/>
          <w:lang w:val="en-US" w:eastAsia="en-US"/>
        </w:rPr>
        <w:t xml:space="preserve"> պետություններին ձեռնարկել միջոցներ նոր ալիքի դեմ պայքարելու և վարակի տարածման տեմպերը կանխելու համար</w:t>
      </w:r>
      <w:r w:rsidRPr="00661EAA">
        <w:rPr>
          <w:rFonts w:ascii="GHEA Grapalat" w:eastAsia="GHEA Grapalat" w:hAnsi="GHEA Grapalat" w:cs="GHEA Grapalat"/>
          <w:vertAlign w:val="superscript"/>
          <w:lang w:val="en-US" w:eastAsia="en-US"/>
        </w:rPr>
        <w:footnoteReference w:id="1"/>
      </w:r>
      <w:r w:rsidRPr="00661EAA">
        <w:rPr>
          <w:rFonts w:ascii="GHEA Grapalat" w:eastAsia="GHEA Grapalat" w:hAnsi="GHEA Grapalat" w:cs="GHEA Grapalat"/>
          <w:lang w:val="en-US" w:eastAsia="en-US"/>
        </w:rPr>
        <w:t xml:space="preserve">: Միաժամանակ, ԱՀԿ-ն </w:t>
      </w:r>
      <w:r w:rsidR="00FC6B83">
        <w:rPr>
          <w:rFonts w:ascii="GHEA Grapalat" w:eastAsia="GHEA Grapalat" w:hAnsi="GHEA Grapalat" w:cs="GHEA Grapalat"/>
          <w:lang w:val="en-US" w:eastAsia="en-US"/>
        </w:rPr>
        <w:t>զգուշացրել</w:t>
      </w:r>
      <w:r w:rsidRPr="00661EAA">
        <w:rPr>
          <w:rFonts w:ascii="GHEA Grapalat" w:eastAsia="GHEA Grapalat" w:hAnsi="GHEA Grapalat" w:cs="GHEA Grapalat"/>
          <w:lang w:val="en-US" w:eastAsia="en-US"/>
        </w:rPr>
        <w:t xml:space="preserve"> է կորոնավիրուսային հիվանդության նոր տեսակների՝ ա</w:t>
      </w:r>
      <w:r w:rsidRPr="00661EAA">
        <w:rPr>
          <w:rFonts w:ascii="GHEA Grapalat" w:hAnsi="GHEA Grapalat" w:cs="Arial"/>
          <w:lang w:val="hy-AM" w:eastAsia="en-US"/>
        </w:rPr>
        <w:t xml:space="preserve">լֆա (բրիտանական), </w:t>
      </w:r>
      <w:r w:rsidRPr="00661EAA">
        <w:rPr>
          <w:rFonts w:ascii="GHEA Grapalat" w:hAnsi="GHEA Grapalat" w:cs="Arial"/>
          <w:lang w:val="en-US" w:eastAsia="en-US"/>
        </w:rPr>
        <w:t>բ</w:t>
      </w:r>
      <w:r w:rsidRPr="00661EAA">
        <w:rPr>
          <w:rFonts w:ascii="GHEA Grapalat" w:hAnsi="GHEA Grapalat" w:cs="Arial"/>
          <w:lang w:val="hy-AM" w:eastAsia="en-US"/>
        </w:rPr>
        <w:t xml:space="preserve">ետա (հարավ-աֆրիկյան), </w:t>
      </w:r>
      <w:r w:rsidRPr="00661EAA">
        <w:rPr>
          <w:rFonts w:ascii="GHEA Grapalat" w:hAnsi="GHEA Grapalat" w:cs="Arial"/>
          <w:lang w:val="en-US" w:eastAsia="en-US"/>
        </w:rPr>
        <w:t>գ</w:t>
      </w:r>
      <w:r w:rsidRPr="00661EAA">
        <w:rPr>
          <w:rFonts w:ascii="GHEA Grapalat" w:hAnsi="GHEA Grapalat" w:cs="Arial"/>
          <w:lang w:val="hy-AM" w:eastAsia="en-US"/>
        </w:rPr>
        <w:t xml:space="preserve">ամմա (բրազիլիական) և </w:t>
      </w:r>
      <w:r w:rsidRPr="00661EAA">
        <w:rPr>
          <w:rFonts w:ascii="GHEA Grapalat" w:hAnsi="GHEA Grapalat" w:cs="Arial"/>
          <w:lang w:val="en-US" w:eastAsia="en-US"/>
        </w:rPr>
        <w:t>դ</w:t>
      </w:r>
      <w:r w:rsidRPr="00661EAA">
        <w:rPr>
          <w:rFonts w:ascii="GHEA Grapalat" w:hAnsi="GHEA Grapalat" w:cs="Arial"/>
          <w:lang w:val="hy-AM" w:eastAsia="en-US"/>
        </w:rPr>
        <w:t>ելտա (հնդկական)</w:t>
      </w:r>
      <w:r w:rsidR="005821BE">
        <w:rPr>
          <w:rFonts w:ascii="GHEA Grapalat" w:hAnsi="GHEA Grapalat" w:cs="Arial"/>
          <w:lang w:val="hy-AM" w:eastAsia="en-US"/>
        </w:rPr>
        <w:t>,</w:t>
      </w:r>
      <w:r w:rsidRPr="00661EAA">
        <w:rPr>
          <w:rFonts w:ascii="GHEA Grapalat" w:eastAsia="GHEA Grapalat" w:hAnsi="GHEA Grapalat" w:cs="GHEA Grapalat"/>
          <w:lang w:val="en-US" w:eastAsia="en-US"/>
        </w:rPr>
        <w:t xml:space="preserve"> առաջանալու և դրանց առավել վտանգավորության մասին</w:t>
      </w:r>
      <w:r w:rsidRPr="00661EAA">
        <w:rPr>
          <w:rFonts w:ascii="GHEA Grapalat" w:eastAsia="GHEA Grapalat" w:hAnsi="GHEA Grapalat" w:cs="GHEA Grapalat"/>
          <w:vertAlign w:val="superscript"/>
          <w:lang w:val="en-US" w:eastAsia="en-US"/>
        </w:rPr>
        <w:footnoteReference w:id="2"/>
      </w:r>
      <w:r w:rsidRPr="00661EAA">
        <w:rPr>
          <w:rFonts w:ascii="GHEA Grapalat" w:eastAsia="GHEA Grapalat" w:hAnsi="GHEA Grapalat" w:cs="GHEA Grapalat"/>
          <w:lang w:val="en-US" w:eastAsia="en-US"/>
        </w:rPr>
        <w:t>:</w:t>
      </w:r>
    </w:p>
    <w:p w:rsidR="0065243E" w:rsidRPr="0084045B" w:rsidRDefault="0065243E" w:rsidP="0084045B">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xml:space="preserve">Հայաստանի Հանրապետությունում հաստատված կորոնավիրուսային հիվանդության դեպքերի աճի պայմաններում, աշխարհում կորոնավիրուսային հիվանդության նոր տեսակի հայտնաբերման պայմաններում անհրաժեշտություն է </w:t>
      </w:r>
      <w:r w:rsidR="00D31070" w:rsidRPr="0084045B">
        <w:rPr>
          <w:rFonts w:ascii="GHEA Grapalat" w:eastAsia="GHEA Grapalat" w:hAnsi="GHEA Grapalat" w:cs="GHEA Grapalat"/>
          <w:lang w:val="hy-AM" w:eastAsia="en-US"/>
        </w:rPr>
        <w:t>առաջացել</w:t>
      </w:r>
      <w:r w:rsidRPr="00661EAA">
        <w:rPr>
          <w:rFonts w:ascii="GHEA Grapalat" w:eastAsia="GHEA Grapalat" w:hAnsi="GHEA Grapalat" w:cs="GHEA Grapalat"/>
          <w:lang w:val="hy-AM" w:eastAsia="en-US"/>
        </w:rPr>
        <w:t xml:space="preserve"> </w:t>
      </w:r>
      <w:r w:rsidR="003A4AEA" w:rsidRPr="0084045B">
        <w:rPr>
          <w:rFonts w:ascii="GHEA Grapalat" w:eastAsia="GHEA Grapalat" w:hAnsi="GHEA Grapalat" w:cs="GHEA Grapalat"/>
          <w:lang w:val="hy-AM" w:eastAsia="en-US"/>
        </w:rPr>
        <w:t>արդյունավետ դարձնել վարակիչ հիվանդությունների կանխարգելիչ միջոցների</w:t>
      </w:r>
      <w:r w:rsidR="003A4AEA" w:rsidRPr="00661EAA">
        <w:rPr>
          <w:rFonts w:ascii="GHEA Grapalat" w:eastAsia="GHEA Grapalat" w:hAnsi="GHEA Grapalat" w:cs="GHEA Grapalat"/>
          <w:lang w:val="hy-AM" w:eastAsia="en-US"/>
        </w:rPr>
        <w:t xml:space="preserve"> </w:t>
      </w:r>
      <w:r w:rsidRPr="00661EAA">
        <w:rPr>
          <w:rFonts w:ascii="GHEA Grapalat" w:eastAsia="GHEA Grapalat" w:hAnsi="GHEA Grapalat" w:cs="GHEA Grapalat"/>
          <w:lang w:val="hy-AM" w:eastAsia="en-US"/>
        </w:rPr>
        <w:t>կիրառումը</w:t>
      </w:r>
      <w:r w:rsidR="003A4AEA" w:rsidRPr="0084045B">
        <w:rPr>
          <w:rFonts w:ascii="GHEA Grapalat" w:eastAsia="GHEA Grapalat" w:hAnsi="GHEA Grapalat" w:cs="GHEA Grapalat"/>
          <w:lang w:val="hy-AM" w:eastAsia="en-US"/>
        </w:rPr>
        <w:t xml:space="preserve"> և սանիտարահամաճարակային անվտանգության կանոնների խիստ պահպանումը</w:t>
      </w:r>
      <w:r w:rsidRPr="00661EAA">
        <w:rPr>
          <w:rFonts w:ascii="GHEA Grapalat" w:eastAsia="GHEA Grapalat" w:hAnsi="GHEA Grapalat" w:cs="GHEA Grapalat"/>
          <w:lang w:val="hy-AM" w:eastAsia="en-US"/>
        </w:rPr>
        <w:t xml:space="preserve">՝ հիվանդության տարածումը հնարավորինս կանխելու, մահվան դեպքերը նվազեցնելու համար: </w:t>
      </w:r>
      <w:r w:rsidR="003A4AEA" w:rsidRPr="0084045B">
        <w:rPr>
          <w:rFonts w:ascii="GHEA Grapalat" w:eastAsia="GHEA Grapalat" w:hAnsi="GHEA Grapalat" w:cs="GHEA Grapalat"/>
          <w:lang w:val="hy-AM" w:eastAsia="en-US"/>
        </w:rPr>
        <w:t xml:space="preserve">Խոսքը վերաբերում է </w:t>
      </w:r>
      <w:r w:rsidR="000B1B21" w:rsidRPr="0084045B">
        <w:rPr>
          <w:rFonts w:ascii="GHEA Grapalat" w:eastAsia="GHEA Grapalat" w:hAnsi="GHEA Grapalat" w:cs="GHEA Grapalat"/>
          <w:lang w:val="hy-AM" w:eastAsia="en-US"/>
        </w:rPr>
        <w:t xml:space="preserve">հատկապես </w:t>
      </w:r>
      <w:r w:rsidR="003A4AEA" w:rsidRPr="0084045B">
        <w:rPr>
          <w:rFonts w:ascii="GHEA Grapalat" w:eastAsia="GHEA Grapalat" w:hAnsi="GHEA Grapalat" w:cs="GHEA Grapalat"/>
          <w:highlight w:val="white"/>
          <w:lang w:val="hy-AM" w:eastAsia="en-US"/>
        </w:rPr>
        <w:t>կ</w:t>
      </w:r>
      <w:r w:rsidRPr="0084045B">
        <w:rPr>
          <w:rFonts w:ascii="GHEA Grapalat" w:eastAsia="GHEA Grapalat" w:hAnsi="GHEA Grapalat" w:cs="GHEA Grapalat"/>
          <w:highlight w:val="white"/>
          <w:lang w:val="hy-AM" w:eastAsia="en-US"/>
        </w:rPr>
        <w:t>որոնավիրուսային հիվանդության</w:t>
      </w:r>
      <w:r w:rsidRPr="00661EAA">
        <w:rPr>
          <w:rFonts w:ascii="GHEA Grapalat" w:eastAsia="GHEA Grapalat" w:hAnsi="GHEA Grapalat" w:cs="GHEA Grapalat"/>
          <w:highlight w:val="white"/>
          <w:lang w:val="hy-AM" w:eastAsia="en-US"/>
        </w:rPr>
        <w:t xml:space="preserve"> համավարակի կանխարգելման գործընթացում </w:t>
      </w:r>
      <w:r w:rsidR="00733FC0" w:rsidRPr="0084045B">
        <w:rPr>
          <w:rFonts w:ascii="GHEA Grapalat" w:eastAsia="GHEA Grapalat" w:hAnsi="GHEA Grapalat" w:cs="GHEA Grapalat"/>
          <w:highlight w:val="white"/>
          <w:lang w:val="hy-AM" w:eastAsia="en-US"/>
        </w:rPr>
        <w:t xml:space="preserve">հետազոտությունների պարբերական իրականացմանը կամ </w:t>
      </w:r>
      <w:r w:rsidRPr="00661EAA">
        <w:rPr>
          <w:rFonts w:ascii="GHEA Grapalat" w:eastAsia="GHEA Grapalat" w:hAnsi="GHEA Grapalat" w:cs="GHEA Grapalat"/>
          <w:highlight w:val="white"/>
          <w:lang w:val="hy-AM" w:eastAsia="en-US"/>
        </w:rPr>
        <w:t xml:space="preserve">պատվաստանյութի </w:t>
      </w:r>
      <w:r w:rsidR="003A4AEA" w:rsidRPr="0084045B">
        <w:rPr>
          <w:rFonts w:ascii="GHEA Grapalat" w:eastAsia="GHEA Grapalat" w:hAnsi="GHEA Grapalat" w:cs="GHEA Grapalat"/>
          <w:highlight w:val="white"/>
          <w:lang w:val="hy-AM" w:eastAsia="en-US"/>
        </w:rPr>
        <w:t xml:space="preserve">կիրառմանը, </w:t>
      </w:r>
      <w:r w:rsidR="000B1B21" w:rsidRPr="0084045B">
        <w:rPr>
          <w:rFonts w:ascii="GHEA Grapalat" w:eastAsia="GHEA Grapalat" w:hAnsi="GHEA Grapalat" w:cs="GHEA Grapalat"/>
          <w:highlight w:val="white"/>
          <w:lang w:val="hy-AM" w:eastAsia="en-US"/>
        </w:rPr>
        <w:t>որոնք</w:t>
      </w:r>
      <w:r w:rsidR="003A4AEA" w:rsidRPr="00661EAA">
        <w:rPr>
          <w:rFonts w:ascii="GHEA Grapalat" w:eastAsia="GHEA Grapalat" w:hAnsi="GHEA Grapalat" w:cs="GHEA Grapalat"/>
          <w:highlight w:val="white"/>
          <w:lang w:val="hy-AM" w:eastAsia="en-US"/>
        </w:rPr>
        <w:t xml:space="preserve"> </w:t>
      </w:r>
      <w:r w:rsidRPr="00661EAA">
        <w:rPr>
          <w:rFonts w:ascii="GHEA Grapalat" w:eastAsia="GHEA Grapalat" w:hAnsi="GHEA Grapalat" w:cs="GHEA Grapalat"/>
          <w:highlight w:val="white"/>
          <w:lang w:val="hy-AM" w:eastAsia="en-US"/>
        </w:rPr>
        <w:t>ուն</w:t>
      </w:r>
      <w:r w:rsidR="000B1B21" w:rsidRPr="0084045B">
        <w:rPr>
          <w:rFonts w:ascii="GHEA Grapalat" w:eastAsia="GHEA Grapalat" w:hAnsi="GHEA Grapalat" w:cs="GHEA Grapalat"/>
          <w:highlight w:val="white"/>
          <w:lang w:val="hy-AM" w:eastAsia="en-US"/>
        </w:rPr>
        <w:t>են</w:t>
      </w:r>
      <w:r w:rsidRPr="00661EAA">
        <w:rPr>
          <w:rFonts w:ascii="GHEA Grapalat" w:eastAsia="GHEA Grapalat" w:hAnsi="GHEA Grapalat" w:cs="GHEA Grapalat"/>
          <w:highlight w:val="white"/>
          <w:lang w:val="hy-AM" w:eastAsia="en-US"/>
        </w:rPr>
        <w:t xml:space="preserve"> առանցքային դեր</w:t>
      </w:r>
      <w:r w:rsidR="003A4AEA" w:rsidRPr="0084045B">
        <w:rPr>
          <w:rFonts w:ascii="GHEA Grapalat" w:eastAsia="GHEA Grapalat" w:hAnsi="GHEA Grapalat" w:cs="GHEA Grapalat"/>
          <w:highlight w:val="white"/>
          <w:lang w:val="hy-AM" w:eastAsia="en-US"/>
        </w:rPr>
        <w:t xml:space="preserve"> վարակի կանխարգելման հարցում</w:t>
      </w:r>
      <w:r w:rsidRPr="00661EAA">
        <w:rPr>
          <w:rFonts w:ascii="GHEA Grapalat" w:eastAsia="GHEA Grapalat" w:hAnsi="GHEA Grapalat" w:cs="GHEA Grapalat"/>
          <w:highlight w:val="white"/>
          <w:lang w:val="hy-AM" w:eastAsia="en-US"/>
        </w:rPr>
        <w:t>:</w:t>
      </w:r>
    </w:p>
    <w:p w:rsidR="0065243E" w:rsidRPr="005E308C" w:rsidRDefault="00733FC0" w:rsidP="0084045B">
      <w:pPr>
        <w:spacing w:line="360" w:lineRule="auto"/>
        <w:ind w:firstLine="720"/>
        <w:jc w:val="both"/>
        <w:rPr>
          <w:rFonts w:ascii="GHEA Grapalat" w:eastAsia="GHEA Grapalat" w:hAnsi="GHEA Grapalat" w:cs="GHEA Grapalat"/>
          <w:lang w:val="hy-AM" w:eastAsia="en-US"/>
        </w:rPr>
      </w:pPr>
      <w:r w:rsidRPr="005E308C">
        <w:rPr>
          <w:rFonts w:ascii="GHEA Grapalat" w:eastAsia="GHEA Grapalat" w:hAnsi="GHEA Grapalat" w:cs="GHEA Grapalat"/>
          <w:lang w:val="hy-AM" w:eastAsia="en-US"/>
        </w:rPr>
        <w:t>Հատկանշական է</w:t>
      </w:r>
      <w:r w:rsidR="0065243E" w:rsidRPr="005E308C">
        <w:rPr>
          <w:rFonts w:ascii="GHEA Grapalat" w:eastAsia="GHEA Grapalat" w:hAnsi="GHEA Grapalat" w:cs="GHEA Grapalat"/>
          <w:lang w:val="hy-AM" w:eastAsia="en-US"/>
        </w:rPr>
        <w:t>,</w:t>
      </w:r>
      <w:r w:rsidRPr="005E308C">
        <w:rPr>
          <w:rFonts w:ascii="GHEA Grapalat" w:eastAsia="GHEA Grapalat" w:hAnsi="GHEA Grapalat" w:cs="GHEA Grapalat"/>
          <w:lang w:val="hy-AM" w:eastAsia="en-US"/>
        </w:rPr>
        <w:t xml:space="preserve"> որ</w:t>
      </w:r>
      <w:r w:rsidR="0065243E" w:rsidRPr="005E308C">
        <w:rPr>
          <w:rFonts w:ascii="GHEA Grapalat" w:eastAsia="GHEA Grapalat" w:hAnsi="GHEA Grapalat" w:cs="GHEA Grapalat"/>
          <w:lang w:val="hy-AM" w:eastAsia="en-US"/>
        </w:rPr>
        <w:t xml:space="preserve"> ԱՀԿ-ն</w:t>
      </w:r>
      <w:r w:rsidRPr="005E308C">
        <w:rPr>
          <w:rFonts w:ascii="GHEA Grapalat" w:eastAsia="GHEA Grapalat" w:hAnsi="GHEA Grapalat" w:cs="GHEA Grapalat"/>
          <w:lang w:val="hy-AM" w:eastAsia="en-US"/>
        </w:rPr>
        <w:t xml:space="preserve"> նույնիսկ</w:t>
      </w:r>
      <w:r w:rsidR="0065243E" w:rsidRPr="00661EAA">
        <w:rPr>
          <w:rFonts w:ascii="GHEA Grapalat" w:hAnsi="GHEA Grapalat" w:cs="Arial"/>
          <w:lang w:val="hy-AM" w:eastAsia="en-US"/>
        </w:rPr>
        <w:t xml:space="preserve"> </w:t>
      </w:r>
      <w:r w:rsidRPr="005E308C">
        <w:rPr>
          <w:rFonts w:ascii="GHEA Grapalat" w:hAnsi="GHEA Grapalat" w:cs="Arial"/>
          <w:lang w:val="hy-AM" w:eastAsia="en-US"/>
        </w:rPr>
        <w:t>հորդորում է</w:t>
      </w:r>
      <w:r w:rsidRPr="00661EAA">
        <w:rPr>
          <w:rFonts w:ascii="GHEA Grapalat" w:hAnsi="GHEA Grapalat" w:cs="Arial"/>
          <w:lang w:val="hy-AM" w:eastAsia="en-US"/>
        </w:rPr>
        <w:t xml:space="preserve"> </w:t>
      </w:r>
      <w:r w:rsidR="0065243E" w:rsidRPr="00661EAA">
        <w:rPr>
          <w:rFonts w:ascii="GHEA Grapalat" w:hAnsi="GHEA Grapalat" w:cs="Arial"/>
          <w:lang w:val="hy-AM" w:eastAsia="en-US"/>
        </w:rPr>
        <w:t xml:space="preserve">չհետաձգել </w:t>
      </w:r>
      <w:r w:rsidR="0065243E" w:rsidRPr="005E308C">
        <w:rPr>
          <w:rFonts w:ascii="GHEA Grapalat" w:hAnsi="GHEA Grapalat" w:cs="Arial"/>
          <w:lang w:val="hy-AM" w:eastAsia="en-US"/>
        </w:rPr>
        <w:t>կորոնավիրուսային հիվանդության</w:t>
      </w:r>
      <w:r w:rsidR="0065243E" w:rsidRPr="00661EAA">
        <w:rPr>
          <w:rFonts w:ascii="GHEA Grapalat" w:hAnsi="GHEA Grapalat" w:cs="Arial"/>
          <w:lang w:val="hy-AM" w:eastAsia="en-US"/>
        </w:rPr>
        <w:t xml:space="preserve"> դեմ պատվաստումները</w:t>
      </w:r>
      <w:r w:rsidR="0065243E" w:rsidRPr="00661EAA">
        <w:rPr>
          <w:rFonts w:ascii="GHEA Grapalat" w:hAnsi="GHEA Grapalat" w:cs="Arial"/>
          <w:vertAlign w:val="superscript"/>
          <w:lang w:val="hy-AM" w:eastAsia="en-US"/>
        </w:rPr>
        <w:footnoteReference w:id="3"/>
      </w:r>
      <w:r w:rsidR="0065243E" w:rsidRPr="005E308C">
        <w:rPr>
          <w:rFonts w:ascii="GHEA Grapalat" w:hAnsi="GHEA Grapalat" w:cs="Arial"/>
          <w:lang w:val="hy-AM" w:eastAsia="en-US"/>
        </w:rPr>
        <w:t xml:space="preserve">: Միաժամանակ, ԱՀԿ-ն նշում է, որ </w:t>
      </w:r>
      <w:r w:rsidR="0065243E" w:rsidRPr="005E308C">
        <w:rPr>
          <w:rFonts w:ascii="GHEA Grapalat" w:eastAsia="GHEA Grapalat" w:hAnsi="GHEA Grapalat" w:cs="GHEA Grapalat"/>
          <w:lang w:val="hy-AM" w:eastAsia="en-US"/>
        </w:rPr>
        <w:t>պատվաստանյութերը անվտանգ են 18 և ավելի տարիքի մարդկանց մեծամասնության համար, ներառյալ տարբեր տեսակի հիվանդություններ ունեցող անձնաց համար. օրինակ՝ աուտոիմունային հիվանդություններ, հիպերտոնիա, շաքարախտ, ասթմա, թոքերի, լյարդի և երիկամների հիվանդություններ, ինչպես նաև քրոնիկ հիվանդություններ, որոնք կայուն են և վերահսկելի:</w:t>
      </w:r>
    </w:p>
    <w:p w:rsidR="0065243E" w:rsidRPr="005E308C" w:rsidRDefault="00906048" w:rsidP="00D43506">
      <w:pPr>
        <w:spacing w:line="360" w:lineRule="auto"/>
        <w:ind w:firstLine="720"/>
        <w:jc w:val="both"/>
        <w:rPr>
          <w:rFonts w:ascii="GHEA Grapalat" w:eastAsia="GHEA Grapalat" w:hAnsi="GHEA Grapalat" w:cs="GHEA Grapalat"/>
          <w:lang w:val="hy-AM" w:eastAsia="en-US"/>
        </w:rPr>
      </w:pPr>
      <w:r w:rsidRPr="005E308C">
        <w:rPr>
          <w:rFonts w:ascii="GHEA Grapalat" w:eastAsia="GHEA Grapalat" w:hAnsi="GHEA Grapalat" w:cs="GHEA Grapalat"/>
          <w:lang w:val="hy-AM" w:eastAsia="en-US"/>
        </w:rPr>
        <w:lastRenderedPageBreak/>
        <w:t>Նշվածի համատեքստում հարկ է նկատել, որ առողջապահության ոլորտում պետությունն առաքելություն է ստանձնել պահպանել բնակ</w:t>
      </w:r>
      <w:r w:rsidR="00315647" w:rsidRPr="005E308C">
        <w:rPr>
          <w:rFonts w:ascii="GHEA Grapalat" w:eastAsia="GHEA Grapalat" w:hAnsi="GHEA Grapalat" w:cs="GHEA Grapalat"/>
          <w:lang w:val="hy-AM" w:eastAsia="en-US"/>
        </w:rPr>
        <w:t>չ</w:t>
      </w:r>
      <w:r w:rsidRPr="005E308C">
        <w:rPr>
          <w:rFonts w:ascii="GHEA Grapalat" w:eastAsia="GHEA Grapalat" w:hAnsi="GHEA Grapalat" w:cs="GHEA Grapalat"/>
          <w:lang w:val="hy-AM" w:eastAsia="en-US"/>
        </w:rPr>
        <w:t xml:space="preserve">ության առողջությունը: </w:t>
      </w:r>
      <w:r w:rsidR="0065243E" w:rsidRPr="005E308C">
        <w:rPr>
          <w:rFonts w:ascii="GHEA Grapalat" w:eastAsia="GHEA Grapalat" w:hAnsi="GHEA Grapalat" w:cs="GHEA Grapalat"/>
          <w:lang w:val="hy-AM" w:eastAsia="en-US"/>
        </w:rPr>
        <w:t xml:space="preserve">Կորոնավիրուսային հիվանդության նշված հանգամանքներով պայմանավորած՝ </w:t>
      </w:r>
      <w:r w:rsidR="0065243E" w:rsidRPr="00661EAA">
        <w:rPr>
          <w:rFonts w:ascii="GHEA Grapalat" w:eastAsia="GHEA Grapalat" w:hAnsi="GHEA Grapalat" w:cs="GHEA Grapalat"/>
          <w:lang w:val="hy-AM" w:eastAsia="en-US"/>
        </w:rPr>
        <w:t xml:space="preserve">«Բնակչության սանիտարահամաճարակային անվտանգության ապահովման մասին» օրենքի </w:t>
      </w:r>
      <w:r w:rsidR="00044398" w:rsidRPr="005E308C">
        <w:rPr>
          <w:rFonts w:ascii="GHEA Grapalat" w:eastAsia="GHEA Grapalat" w:hAnsi="GHEA Grapalat" w:cs="GHEA Grapalat"/>
          <w:lang w:val="hy-AM" w:eastAsia="en-US"/>
        </w:rPr>
        <w:t>հիման վրա</w:t>
      </w:r>
      <w:r w:rsidR="0065243E" w:rsidRPr="00661EAA">
        <w:rPr>
          <w:rFonts w:ascii="GHEA Grapalat" w:eastAsia="GHEA Grapalat" w:hAnsi="GHEA Grapalat" w:cs="GHEA Grapalat"/>
          <w:lang w:val="hy-AM" w:eastAsia="en-US"/>
        </w:rPr>
        <w:t xml:space="preserve"> նախատեսվում են վարակիչ հիվանդությունների տարածման կանխարգելմանն ուղղված սանիտարահամաճարակային անվտանգության կանոնները: Այդ նպատակով լիազոր մարմնի կողմից ընդունվել է անհատական պաշտպանության միջոցների ցանկը, դրանց կիրառման դեպքերն ու կարգը, ինչպես նաև սանիտարահամաճարակային անվտանգության</w:t>
      </w:r>
      <w:r w:rsidR="00044398" w:rsidRPr="005E308C">
        <w:rPr>
          <w:rFonts w:ascii="GHEA Grapalat" w:eastAsia="GHEA Grapalat" w:hAnsi="GHEA Grapalat" w:cs="GHEA Grapalat"/>
          <w:lang w:val="hy-AM" w:eastAsia="en-US"/>
        </w:rPr>
        <w:t xml:space="preserve"> այլ</w:t>
      </w:r>
      <w:r w:rsidR="0065243E" w:rsidRPr="00661EAA">
        <w:rPr>
          <w:rFonts w:ascii="GHEA Grapalat" w:eastAsia="GHEA Grapalat" w:hAnsi="GHEA Grapalat" w:cs="GHEA Grapalat"/>
          <w:lang w:val="hy-AM" w:eastAsia="en-US"/>
        </w:rPr>
        <w:t xml:space="preserve"> կանոնները: </w:t>
      </w:r>
    </w:p>
    <w:p w:rsidR="009179DE" w:rsidRPr="005E308C" w:rsidRDefault="0065243E" w:rsidP="00D43506">
      <w:pPr>
        <w:spacing w:line="360" w:lineRule="auto"/>
        <w:ind w:firstLine="720"/>
        <w:jc w:val="both"/>
        <w:rPr>
          <w:rFonts w:ascii="GHEA Grapalat" w:eastAsia="GHEA Grapalat" w:hAnsi="GHEA Grapalat" w:cs="GHEA Grapalat"/>
          <w:lang w:val="hy-AM" w:eastAsia="en-US"/>
        </w:rPr>
      </w:pPr>
      <w:r w:rsidRPr="005E308C">
        <w:rPr>
          <w:rFonts w:ascii="GHEA Grapalat" w:eastAsia="GHEA Grapalat" w:hAnsi="GHEA Grapalat" w:cs="GHEA Grapalat"/>
          <w:lang w:val="hy-AM" w:eastAsia="en-US"/>
        </w:rPr>
        <w:t xml:space="preserve">Միևնույն ժամանակ, </w:t>
      </w:r>
      <w:r w:rsidR="00ED4B41" w:rsidRPr="005E308C">
        <w:rPr>
          <w:rFonts w:ascii="GHEA Grapalat" w:eastAsia="GHEA Grapalat" w:hAnsi="GHEA Grapalat" w:cs="GHEA Grapalat"/>
          <w:lang w:val="hy-AM" w:eastAsia="en-US"/>
        </w:rPr>
        <w:t>հասարակական հարաբերությունների շրջանակում, հատկապես,</w:t>
      </w:r>
      <w:r w:rsidRPr="00661EAA">
        <w:rPr>
          <w:rFonts w:ascii="GHEA Grapalat" w:eastAsia="GHEA Grapalat" w:hAnsi="GHEA Grapalat" w:cs="GHEA Grapalat"/>
          <w:lang w:val="hy-AM" w:eastAsia="en-US"/>
        </w:rPr>
        <w:t xml:space="preserve"> աշխատանքային հարաբերությունների</w:t>
      </w:r>
      <w:r w:rsidR="00ED4B41" w:rsidRPr="005E308C">
        <w:rPr>
          <w:rFonts w:ascii="GHEA Grapalat" w:eastAsia="GHEA Grapalat" w:hAnsi="GHEA Grapalat" w:cs="GHEA Grapalat"/>
          <w:lang w:val="hy-AM" w:eastAsia="en-US"/>
        </w:rPr>
        <w:t xml:space="preserve">, </w:t>
      </w:r>
      <w:r w:rsidR="00A866F3" w:rsidRPr="005E308C">
        <w:rPr>
          <w:rFonts w:ascii="GHEA Grapalat" w:eastAsia="GHEA Grapalat" w:hAnsi="GHEA Grapalat" w:cs="GHEA Grapalat"/>
          <w:lang w:val="hy-AM" w:eastAsia="en-US"/>
        </w:rPr>
        <w:t xml:space="preserve">այդ թվում՝ </w:t>
      </w:r>
      <w:r w:rsidR="00ED4B41" w:rsidRPr="005E308C">
        <w:rPr>
          <w:rFonts w:ascii="GHEA Grapalat" w:eastAsia="GHEA Grapalat" w:hAnsi="GHEA Grapalat" w:cs="GHEA Grapalat"/>
          <w:lang w:val="hy-AM" w:eastAsia="en-US"/>
        </w:rPr>
        <w:t xml:space="preserve">աշխատող-հաճախորդ (սպառող, պատվիրատու և այլն) </w:t>
      </w:r>
      <w:r w:rsidR="00AC3048" w:rsidRPr="005E308C">
        <w:rPr>
          <w:rFonts w:ascii="GHEA Grapalat" w:eastAsia="GHEA Grapalat" w:hAnsi="GHEA Grapalat" w:cs="GHEA Grapalat"/>
          <w:lang w:val="hy-AM" w:eastAsia="en-US"/>
        </w:rPr>
        <w:t xml:space="preserve">նշված </w:t>
      </w:r>
      <w:r w:rsidRPr="00661EAA">
        <w:rPr>
          <w:rFonts w:ascii="GHEA Grapalat" w:eastAsia="GHEA Grapalat" w:hAnsi="GHEA Grapalat" w:cs="GHEA Grapalat"/>
          <w:lang w:val="hy-AM" w:eastAsia="en-US"/>
        </w:rPr>
        <w:t>կանոնների պահպանման</w:t>
      </w:r>
      <w:r w:rsidR="009179DE" w:rsidRPr="005E308C">
        <w:rPr>
          <w:rFonts w:ascii="GHEA Grapalat" w:eastAsia="GHEA Grapalat" w:hAnsi="GHEA Grapalat" w:cs="GHEA Grapalat"/>
          <w:lang w:val="hy-AM" w:eastAsia="en-US"/>
        </w:rPr>
        <w:t xml:space="preserve"> և դրանց սահմանմամբ պայմանավորված նպատակներին հասնելու</w:t>
      </w:r>
      <w:r w:rsidRPr="00661EAA">
        <w:rPr>
          <w:rFonts w:ascii="GHEA Grapalat" w:eastAsia="GHEA Grapalat" w:hAnsi="GHEA Grapalat" w:cs="GHEA Grapalat"/>
          <w:lang w:val="hy-AM" w:eastAsia="en-US"/>
        </w:rPr>
        <w:t xml:space="preserve"> համար </w:t>
      </w:r>
      <w:r w:rsidR="0043566D" w:rsidRPr="0043566D">
        <w:rPr>
          <w:rFonts w:ascii="GHEA Grapalat" w:eastAsia="GHEA Grapalat" w:hAnsi="GHEA Grapalat" w:cs="GHEA Grapalat"/>
          <w:lang w:val="hy-AM" w:eastAsia="en-US"/>
        </w:rPr>
        <w:t xml:space="preserve">անհրաժեշտ են </w:t>
      </w:r>
      <w:r w:rsidRPr="00661EAA">
        <w:rPr>
          <w:rFonts w:ascii="GHEA Grapalat" w:eastAsia="GHEA Grapalat" w:hAnsi="GHEA Grapalat" w:cs="GHEA Grapalat"/>
          <w:lang w:val="hy-AM" w:eastAsia="en-US"/>
        </w:rPr>
        <w:t>գործուն մեխանիզմներ</w:t>
      </w:r>
      <w:r w:rsidR="0043566D" w:rsidRPr="0043566D">
        <w:rPr>
          <w:rFonts w:ascii="GHEA Grapalat" w:eastAsia="GHEA Grapalat" w:hAnsi="GHEA Grapalat" w:cs="GHEA Grapalat"/>
          <w:lang w:val="hy-AM" w:eastAsia="en-US"/>
        </w:rPr>
        <w:t xml:space="preserve">, որոնք հնարավարություն կտան ապահովել սահմանված սանիտարահամաճարակային անվտանգության կանոնների պատշաճ պահպանումը </w:t>
      </w:r>
      <w:r w:rsidR="009179DE" w:rsidRPr="005E308C">
        <w:rPr>
          <w:rFonts w:ascii="GHEA Grapalat" w:eastAsia="GHEA Grapalat" w:hAnsi="GHEA Grapalat" w:cs="GHEA Grapalat"/>
          <w:lang w:val="hy-AM" w:eastAsia="en-US"/>
        </w:rPr>
        <w:t>նշված հարաբերությունների սուբյեկտների</w:t>
      </w:r>
      <w:r w:rsidR="0043566D" w:rsidRPr="0043566D">
        <w:rPr>
          <w:rFonts w:ascii="GHEA Grapalat" w:eastAsia="GHEA Grapalat" w:hAnsi="GHEA Grapalat" w:cs="GHEA Grapalat"/>
          <w:lang w:val="hy-AM" w:eastAsia="en-US"/>
        </w:rPr>
        <w:t xml:space="preserve"> կողմից</w:t>
      </w:r>
      <w:r w:rsidRPr="00661EAA">
        <w:rPr>
          <w:rFonts w:ascii="GHEA Grapalat" w:eastAsia="GHEA Grapalat" w:hAnsi="GHEA Grapalat" w:cs="GHEA Grapalat"/>
          <w:lang w:val="hy-AM" w:eastAsia="en-US"/>
        </w:rPr>
        <w:t>:</w:t>
      </w:r>
      <w:r w:rsidR="0043566D" w:rsidRPr="0043566D">
        <w:rPr>
          <w:rFonts w:ascii="GHEA Grapalat" w:eastAsia="GHEA Grapalat" w:hAnsi="GHEA Grapalat" w:cs="GHEA Grapalat"/>
          <w:lang w:val="hy-AM" w:eastAsia="en-US"/>
        </w:rPr>
        <w:t xml:space="preserve"> </w:t>
      </w:r>
    </w:p>
    <w:p w:rsidR="009179DE" w:rsidRPr="005E308C" w:rsidRDefault="00A866F3" w:rsidP="00D43506">
      <w:pPr>
        <w:spacing w:line="360" w:lineRule="auto"/>
        <w:ind w:firstLine="720"/>
        <w:jc w:val="both"/>
        <w:rPr>
          <w:rFonts w:ascii="GHEA Grapalat" w:eastAsia="GHEA Grapalat" w:hAnsi="GHEA Grapalat" w:cs="GHEA Grapalat"/>
          <w:lang w:val="hy-AM" w:eastAsia="en-US"/>
        </w:rPr>
      </w:pPr>
      <w:r w:rsidRPr="005E308C">
        <w:rPr>
          <w:rFonts w:ascii="GHEA Grapalat" w:eastAsia="GHEA Grapalat" w:hAnsi="GHEA Grapalat" w:cs="GHEA Grapalat"/>
          <w:lang w:val="hy-AM" w:eastAsia="en-US"/>
        </w:rPr>
        <w:t xml:space="preserve">Վերոգրյալի լույսի ներքո, աշխատանքային հարաբերությունների սուբյեկտների առողջության պահպանումը երկակի կարևորություն ունի: Մասնավորապես, կորոնավիրուսային հիվանդության կանխարգելման մեխանիզմների նախատեսումը այս հարաբերությունների շրջանակում մի կողմից հնարավորություն կտա պաշտպանել աշխատողների և բնակչության առողջությունը, ձևավորել կոլեկտիվ իմունիտետ այս հիվանդության նկատմամբ, իսկ մյուս կողմից՝ կապահովի այդ հարաբերությունների պատշաճ կենսագործունեությունն ու իրականացումը, գործառույթների իրականացումը, գործատուների տնտեսական գործունեության անխափան </w:t>
      </w:r>
      <w:r w:rsidR="00404711" w:rsidRPr="005E308C">
        <w:rPr>
          <w:rFonts w:ascii="GHEA Grapalat" w:eastAsia="GHEA Grapalat" w:hAnsi="GHEA Grapalat" w:cs="GHEA Grapalat"/>
          <w:lang w:val="hy-AM" w:eastAsia="en-US"/>
        </w:rPr>
        <w:t>իրականացումը, ինչպես նաև կնպաստի պետությունում տնտեսական կայունությանը:</w:t>
      </w:r>
    </w:p>
    <w:p w:rsidR="0065243E" w:rsidRPr="00A244DE" w:rsidRDefault="00EB19C2" w:rsidP="00781CED">
      <w:pPr>
        <w:spacing w:line="360" w:lineRule="auto"/>
        <w:ind w:firstLine="720"/>
        <w:jc w:val="both"/>
        <w:rPr>
          <w:rFonts w:ascii="GHEA Grapalat" w:eastAsia="GHEA Grapalat" w:hAnsi="GHEA Grapalat" w:cs="GHEA Grapalat"/>
          <w:lang w:val="hy-AM" w:eastAsia="en-US"/>
        </w:rPr>
      </w:pPr>
      <w:r w:rsidRPr="005E308C">
        <w:rPr>
          <w:rFonts w:ascii="GHEA Grapalat" w:eastAsia="GHEA Grapalat" w:hAnsi="GHEA Grapalat" w:cs="GHEA Grapalat"/>
          <w:lang w:val="hy-AM" w:eastAsia="en-US"/>
        </w:rPr>
        <w:t>Այսպես</w:t>
      </w:r>
      <w:r w:rsidR="00E1493A" w:rsidRPr="00A244DE">
        <w:rPr>
          <w:rFonts w:ascii="GHEA Grapalat" w:eastAsia="GHEA Grapalat" w:hAnsi="GHEA Grapalat" w:cs="GHEA Grapalat"/>
          <w:lang w:val="hy-AM" w:eastAsia="en-US"/>
        </w:rPr>
        <w:t xml:space="preserve">, </w:t>
      </w:r>
      <w:r w:rsidR="00865EAA" w:rsidRPr="005E308C">
        <w:rPr>
          <w:rFonts w:ascii="GHEA Grapalat" w:eastAsia="GHEA Grapalat" w:hAnsi="GHEA Grapalat" w:cs="GHEA Grapalat"/>
          <w:lang w:val="hy-AM" w:eastAsia="en-US"/>
        </w:rPr>
        <w:t>աշխատողների</w:t>
      </w:r>
      <w:r w:rsidR="00E1493A" w:rsidRPr="00A244DE">
        <w:rPr>
          <w:rFonts w:ascii="GHEA Grapalat" w:eastAsia="GHEA Grapalat" w:hAnsi="GHEA Grapalat" w:cs="GHEA Grapalat"/>
          <w:lang w:val="hy-AM" w:eastAsia="en-US"/>
        </w:rPr>
        <w:t xml:space="preserve"> </w:t>
      </w:r>
      <w:r w:rsidR="003A4AEA" w:rsidRPr="00A244DE">
        <w:rPr>
          <w:rFonts w:ascii="GHEA Grapalat" w:eastAsia="GHEA Grapalat" w:hAnsi="GHEA Grapalat" w:cs="GHEA Grapalat"/>
          <w:lang w:val="hy-AM" w:eastAsia="en-US"/>
        </w:rPr>
        <w:t>կողմից սանիտարահամաճարակային անվտանգության կանոնները պահպանելը</w:t>
      </w:r>
      <w:r w:rsidR="00E1493A" w:rsidRPr="00A244DE">
        <w:rPr>
          <w:rFonts w:ascii="GHEA Grapalat" w:eastAsia="GHEA Grapalat" w:hAnsi="GHEA Grapalat" w:cs="GHEA Grapalat"/>
          <w:lang w:val="hy-AM" w:eastAsia="en-US"/>
        </w:rPr>
        <w:t xml:space="preserve"> կարող է էական ազդեցություն ունենալ վար</w:t>
      </w:r>
      <w:r w:rsidR="003A4AEA" w:rsidRPr="00A244DE">
        <w:rPr>
          <w:rFonts w:ascii="GHEA Grapalat" w:eastAsia="GHEA Grapalat" w:hAnsi="GHEA Grapalat" w:cs="GHEA Grapalat"/>
          <w:lang w:val="hy-AM" w:eastAsia="en-US"/>
        </w:rPr>
        <w:t>ա</w:t>
      </w:r>
      <w:r w:rsidR="00E1493A" w:rsidRPr="00A244DE">
        <w:rPr>
          <w:rFonts w:ascii="GHEA Grapalat" w:eastAsia="GHEA Grapalat" w:hAnsi="GHEA Grapalat" w:cs="GHEA Grapalat"/>
          <w:lang w:val="hy-AM" w:eastAsia="en-US"/>
        </w:rPr>
        <w:t xml:space="preserve">կի դեպքերը նվազեցնելու </w:t>
      </w:r>
      <w:r w:rsidR="00733FC0" w:rsidRPr="00A244DE">
        <w:rPr>
          <w:rFonts w:ascii="GHEA Grapalat" w:eastAsia="GHEA Grapalat" w:hAnsi="GHEA Grapalat" w:cs="GHEA Grapalat"/>
          <w:lang w:val="hy-AM" w:eastAsia="en-US"/>
        </w:rPr>
        <w:t xml:space="preserve">և </w:t>
      </w:r>
      <w:r w:rsidR="00865EAA" w:rsidRPr="005E308C">
        <w:rPr>
          <w:rFonts w:ascii="GHEA Grapalat" w:eastAsia="GHEA Grapalat" w:hAnsi="GHEA Grapalat" w:cs="GHEA Grapalat"/>
          <w:lang w:val="hy-AM" w:eastAsia="en-US"/>
        </w:rPr>
        <w:t>գործատուների</w:t>
      </w:r>
      <w:r w:rsidR="00733FC0" w:rsidRPr="00A244DE">
        <w:rPr>
          <w:rFonts w:ascii="GHEA Grapalat" w:eastAsia="GHEA Grapalat" w:hAnsi="GHEA Grapalat" w:cs="GHEA Grapalat"/>
          <w:lang w:val="hy-AM" w:eastAsia="en-US"/>
        </w:rPr>
        <w:t xml:space="preserve"> գործունեությունը պատշաճ կազմակերպելու </w:t>
      </w:r>
      <w:r w:rsidR="00E1493A" w:rsidRPr="00A244DE">
        <w:rPr>
          <w:rFonts w:ascii="GHEA Grapalat" w:eastAsia="GHEA Grapalat" w:hAnsi="GHEA Grapalat" w:cs="GHEA Grapalat"/>
          <w:lang w:val="hy-AM" w:eastAsia="en-US"/>
        </w:rPr>
        <w:t>գործընթացում:</w:t>
      </w:r>
      <w:r w:rsidR="0043566D" w:rsidRPr="0043566D">
        <w:rPr>
          <w:rFonts w:ascii="GHEA Grapalat" w:eastAsia="GHEA Grapalat" w:hAnsi="GHEA Grapalat" w:cs="GHEA Grapalat"/>
          <w:lang w:val="hy-AM" w:eastAsia="en-US"/>
        </w:rPr>
        <w:t xml:space="preserve"> </w:t>
      </w:r>
    </w:p>
    <w:p w:rsidR="00C24393" w:rsidRPr="00D04A3B" w:rsidRDefault="0065243E" w:rsidP="00A908E7">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lastRenderedPageBreak/>
        <w:t xml:space="preserve">Այս համատեքստում հատկապես կարևորվում է </w:t>
      </w:r>
      <w:r w:rsidR="00AC3048">
        <w:rPr>
          <w:rFonts w:ascii="GHEA Grapalat" w:eastAsia="GHEA Grapalat" w:hAnsi="GHEA Grapalat" w:cs="GHEA Grapalat"/>
          <w:lang w:val="hy-AM" w:eastAsia="en-US"/>
        </w:rPr>
        <w:t>աշխատողների</w:t>
      </w:r>
      <w:r w:rsidR="00E77588" w:rsidRPr="00E77588">
        <w:rPr>
          <w:rFonts w:ascii="GHEA Grapalat" w:eastAsia="GHEA Grapalat" w:hAnsi="GHEA Grapalat" w:cs="GHEA Grapalat"/>
          <w:lang w:val="hy-AM" w:eastAsia="en-US"/>
        </w:rPr>
        <w:t xml:space="preserve"> կողմից</w:t>
      </w:r>
      <w:r w:rsidRPr="00661EAA">
        <w:rPr>
          <w:rFonts w:ascii="GHEA Grapalat" w:eastAsia="GHEA Grapalat" w:hAnsi="GHEA Grapalat" w:cs="GHEA Grapalat"/>
          <w:lang w:val="hy-AM" w:eastAsia="en-US"/>
        </w:rPr>
        <w:t xml:space="preserve"> սանիտարահամաճարակային անվտանգության կանոնների պահպանման անհրաժեշտությունը, ինչը կնպաստի նրանց կողմից վարակվելու հավանականության նվազեցմանը կամ վարակվելու ծայրահեղ դեպքում հիվանդության թեթև ընթացքի ապահովմանը, այդ անձանց շնորհիվ վարակի թվերի աճի տեմպերի կանխմանը, հանրային իմունիտետի ձևավորմանը և հանրային առողջության ապահովմանը:</w:t>
      </w:r>
      <w:r w:rsidR="00471C91" w:rsidRPr="00A244DE">
        <w:rPr>
          <w:rFonts w:ascii="GHEA Grapalat" w:eastAsia="GHEA Grapalat" w:hAnsi="GHEA Grapalat" w:cs="GHEA Grapalat"/>
          <w:lang w:val="hy-AM" w:eastAsia="en-US"/>
        </w:rPr>
        <w:t xml:space="preserve"> </w:t>
      </w:r>
    </w:p>
    <w:p w:rsidR="003502A8" w:rsidRPr="00D04A3B" w:rsidRDefault="003502A8" w:rsidP="002E46B1">
      <w:pPr>
        <w:spacing w:line="360" w:lineRule="auto"/>
        <w:ind w:firstLine="720"/>
        <w:jc w:val="both"/>
        <w:rPr>
          <w:rFonts w:ascii="GHEA Grapalat" w:eastAsia="GHEA Grapalat" w:hAnsi="GHEA Grapalat" w:cs="GHEA Grapalat"/>
          <w:lang w:val="hy-AM" w:eastAsia="en-US"/>
        </w:rPr>
      </w:pPr>
      <w:r w:rsidRPr="00A244DE">
        <w:rPr>
          <w:rFonts w:ascii="GHEA Grapalat" w:hAnsi="GHEA Grapalat"/>
          <w:lang w:val="hy-AM" w:eastAsia="en-US"/>
        </w:rPr>
        <w:t>Վարակի տարածման կանխարգելիչ միջոցների խիստ պահպանման ուղղությամբ քայլերի ձեռնարկման</w:t>
      </w:r>
      <w:r w:rsidRPr="00661EAA">
        <w:rPr>
          <w:rFonts w:ascii="GHEA Grapalat" w:hAnsi="GHEA Grapalat"/>
          <w:lang w:val="hy-AM" w:eastAsia="en-US"/>
        </w:rPr>
        <w:t xml:space="preserve"> պահանջը բխում է նաև Սահմանադրությունից, որի 85-րդ հոդվածի համաձայն՝ յուրաքանչյուր ոք, օրենքին համապատասխան, ունի առողջության պահպանման իրավունք, իսկ 86-րդ հոդվածով պետության քաղաքականության հիմնական նպատակների շարքում նախատեսվում է բնակչության առողջության պահպանման և բարելավման ծրագրերի իրականացումը։ Այս պոզիտիվ պարտականությունից է բխում կորոնավիրուսային վարակի տարածման դեմ պայքարի ոլորտում </w:t>
      </w:r>
      <w:r w:rsidR="00E77588" w:rsidRPr="00E77588">
        <w:rPr>
          <w:rFonts w:ascii="GHEA Grapalat" w:hAnsi="GHEA Grapalat"/>
          <w:lang w:val="hy-AM" w:eastAsia="en-US"/>
        </w:rPr>
        <w:t>Կ</w:t>
      </w:r>
      <w:r w:rsidRPr="00661EAA">
        <w:rPr>
          <w:rFonts w:ascii="GHEA Grapalat" w:hAnsi="GHEA Grapalat"/>
          <w:lang w:val="hy-AM" w:eastAsia="en-US"/>
        </w:rPr>
        <w:t>առավարության որդեգրած քաղաքականությունը</w:t>
      </w:r>
      <w:r w:rsidR="00E77588" w:rsidRPr="00E77588">
        <w:rPr>
          <w:rFonts w:ascii="GHEA Grapalat" w:hAnsi="GHEA Grapalat"/>
          <w:lang w:val="hy-AM" w:eastAsia="en-US"/>
        </w:rPr>
        <w:t>:</w:t>
      </w:r>
    </w:p>
    <w:p w:rsidR="0065243E" w:rsidRPr="00D04A3B" w:rsidRDefault="0065243E" w:rsidP="00112DAE">
      <w:pPr>
        <w:spacing w:line="360" w:lineRule="auto"/>
        <w:ind w:firstLine="720"/>
        <w:jc w:val="both"/>
        <w:rPr>
          <w:rFonts w:ascii="GHEA Grapalat" w:eastAsia="GHEA Grapalat" w:hAnsi="GHEA Grapalat" w:cs="GHEA Grapalat"/>
          <w:lang w:val="hy-AM" w:eastAsia="en-US"/>
        </w:rPr>
      </w:pPr>
      <w:r w:rsidRPr="00661EAA">
        <w:rPr>
          <w:rFonts w:ascii="GHEA Grapalat" w:eastAsia="GHEA Grapalat" w:hAnsi="GHEA Grapalat" w:cs="GHEA Grapalat"/>
          <w:lang w:val="hy-AM" w:eastAsia="en-US"/>
        </w:rPr>
        <w:t xml:space="preserve">Միաժամանակ, հարկ է նկատել, որ </w:t>
      </w:r>
      <w:r w:rsidR="00733FC0" w:rsidRPr="00A244DE">
        <w:rPr>
          <w:rFonts w:ascii="GHEA Grapalat" w:eastAsia="GHEA Grapalat" w:hAnsi="GHEA Grapalat" w:cs="GHEA Grapalat"/>
          <w:lang w:val="hy-AM" w:eastAsia="en-US"/>
        </w:rPr>
        <w:t xml:space="preserve">սանիտարահամաճարակային անվտանգության կանոնների, հատկապես՝ պարբերական հետազոտության կամ պատավաստումների պարտադիր իրականացումը դարձել է </w:t>
      </w:r>
      <w:r w:rsidRPr="00661EAA">
        <w:rPr>
          <w:rFonts w:ascii="GHEA Grapalat" w:eastAsia="GHEA Grapalat" w:hAnsi="GHEA Grapalat" w:cs="GHEA Grapalat"/>
          <w:lang w:val="hy-AM" w:eastAsia="en-US"/>
        </w:rPr>
        <w:t>տարածված միջազգային պրակտիկա</w:t>
      </w:r>
      <w:r w:rsidR="00733FC0" w:rsidRPr="00A244DE">
        <w:rPr>
          <w:rFonts w:ascii="GHEA Grapalat" w:eastAsia="GHEA Grapalat" w:hAnsi="GHEA Grapalat" w:cs="GHEA Grapalat"/>
          <w:lang w:val="hy-AM" w:eastAsia="en-US"/>
        </w:rPr>
        <w:t xml:space="preserve"> և մի շարք երկրներ արդեն իսկ ներդրել են համապատասխան մեխանիզմներ</w:t>
      </w:r>
      <w:r w:rsidR="00733FC0">
        <w:rPr>
          <w:rStyle w:val="aa"/>
          <w:rFonts w:ascii="GHEA Grapalat" w:eastAsia="GHEA Grapalat" w:hAnsi="GHEA Grapalat" w:cs="GHEA Grapalat"/>
          <w:lang w:val="en-US" w:eastAsia="en-US"/>
        </w:rPr>
        <w:footnoteReference w:id="4"/>
      </w:r>
      <w:r w:rsidRPr="00661EAA">
        <w:rPr>
          <w:rFonts w:ascii="GHEA Grapalat" w:eastAsia="GHEA Grapalat" w:hAnsi="GHEA Grapalat" w:cs="GHEA Grapalat"/>
          <w:lang w:val="hy-AM" w:eastAsia="en-US"/>
        </w:rPr>
        <w:t>:</w:t>
      </w:r>
      <w:r w:rsidR="00B77A8D" w:rsidRPr="00A244DE">
        <w:rPr>
          <w:rFonts w:ascii="GHEA Grapalat" w:eastAsia="GHEA Grapalat" w:hAnsi="GHEA Grapalat" w:cs="GHEA Grapalat"/>
          <w:lang w:val="hy-AM" w:eastAsia="en-US"/>
        </w:rPr>
        <w:t xml:space="preserve"> </w:t>
      </w:r>
    </w:p>
    <w:p w:rsidR="00AC3048" w:rsidRPr="00D04A3B" w:rsidRDefault="00E77588" w:rsidP="00112DAE">
      <w:pPr>
        <w:spacing w:line="360" w:lineRule="auto"/>
        <w:ind w:firstLine="720"/>
        <w:jc w:val="both"/>
        <w:rPr>
          <w:rFonts w:ascii="GHEA Grapalat" w:eastAsia="GHEA Grapalat" w:hAnsi="GHEA Grapalat" w:cs="GHEA Grapalat"/>
          <w:lang w:val="hy-AM" w:eastAsia="en-US"/>
        </w:rPr>
      </w:pPr>
      <w:r w:rsidRPr="00E77588">
        <w:rPr>
          <w:rFonts w:ascii="GHEA Grapalat" w:eastAsia="GHEA Grapalat" w:hAnsi="GHEA Grapalat" w:cs="GHEA Grapalat"/>
          <w:lang w:val="hy-AM" w:eastAsia="en-US"/>
        </w:rPr>
        <w:t>Նշվածի համատեքստում հարկ է անդ</w:t>
      </w:r>
      <w:r w:rsidR="00112DAE">
        <w:rPr>
          <w:rFonts w:ascii="GHEA Grapalat" w:eastAsia="GHEA Grapalat" w:hAnsi="GHEA Grapalat" w:cs="GHEA Grapalat"/>
          <w:lang w:val="hy-AM" w:eastAsia="en-US"/>
        </w:rPr>
        <w:t>ր</w:t>
      </w:r>
      <w:r w:rsidRPr="00E77588">
        <w:rPr>
          <w:rFonts w:ascii="GHEA Grapalat" w:eastAsia="GHEA Grapalat" w:hAnsi="GHEA Grapalat" w:cs="GHEA Grapalat"/>
          <w:lang w:val="hy-AM" w:eastAsia="en-US"/>
        </w:rPr>
        <w:t xml:space="preserve">ադառնալ հատկապես </w:t>
      </w:r>
      <w:r w:rsidR="00AC3048" w:rsidRPr="00B91A8C">
        <w:rPr>
          <w:rFonts w:ascii="GHEA Grapalat" w:eastAsia="GHEA Grapalat" w:hAnsi="GHEA Grapalat" w:cs="GHEA Grapalat"/>
          <w:lang w:val="hy-AM" w:eastAsia="en-US"/>
        </w:rPr>
        <w:t>հանրային իշխանության մարմիններում աշխատող անձ</w:t>
      </w:r>
      <w:r w:rsidRPr="00E77588">
        <w:rPr>
          <w:rFonts w:ascii="GHEA Grapalat" w:eastAsia="GHEA Grapalat" w:hAnsi="GHEA Grapalat" w:cs="GHEA Grapalat"/>
          <w:lang w:val="hy-AM" w:eastAsia="en-US"/>
        </w:rPr>
        <w:t>ան</w:t>
      </w:r>
      <w:r w:rsidR="00112DAE">
        <w:rPr>
          <w:rFonts w:ascii="GHEA Grapalat" w:eastAsia="GHEA Grapalat" w:hAnsi="GHEA Grapalat" w:cs="GHEA Grapalat"/>
          <w:lang w:val="hy-AM" w:eastAsia="en-US"/>
        </w:rPr>
        <w:t>ց</w:t>
      </w:r>
      <w:r w:rsidRPr="00E77588">
        <w:rPr>
          <w:rFonts w:ascii="GHEA Grapalat" w:eastAsia="GHEA Grapalat" w:hAnsi="GHEA Grapalat" w:cs="GHEA Grapalat"/>
          <w:lang w:val="hy-AM" w:eastAsia="en-US"/>
        </w:rPr>
        <w:t xml:space="preserve"> կողմից համապատասխան պահանջների պահպանմանը, քանի որ նրանք </w:t>
      </w:r>
      <w:r w:rsidR="00AC3048" w:rsidRPr="00B91A8C">
        <w:rPr>
          <w:rFonts w:ascii="GHEA Grapalat" w:eastAsia="GHEA Grapalat" w:hAnsi="GHEA Grapalat" w:cs="GHEA Grapalat"/>
          <w:lang w:val="hy-AM" w:eastAsia="en-US"/>
        </w:rPr>
        <w:t xml:space="preserve">իրականացնում են հանրության և պետության համար կարևոր նշանակություն ունեցող գործառույթներ, որի պարագայում նրանց կողմից վարակիչ հիվանդությամբ վարակվելը կարող է տևական ժամանակով խոչընդոտներ ստեղծել այդ գործառույթների պատշաճ իրականացման համար` վտանգելով նաև այդ գործառույթների իրականացմամբ հետապնդվող հանրային </w:t>
      </w:r>
      <w:r w:rsidR="00AC3048" w:rsidRPr="00B91A8C">
        <w:rPr>
          <w:rFonts w:ascii="GHEA Grapalat" w:eastAsia="GHEA Grapalat" w:hAnsi="GHEA Grapalat" w:cs="GHEA Grapalat"/>
          <w:lang w:val="hy-AM" w:eastAsia="en-US"/>
        </w:rPr>
        <w:lastRenderedPageBreak/>
        <w:t>շահերը։ Հետևաբար</w:t>
      </w:r>
      <w:r w:rsidR="00AC3048" w:rsidRPr="00A244DE">
        <w:rPr>
          <w:rFonts w:ascii="GHEA Grapalat" w:eastAsia="GHEA Grapalat" w:hAnsi="GHEA Grapalat" w:cs="GHEA Grapalat"/>
          <w:lang w:val="hy-AM" w:eastAsia="en-US"/>
        </w:rPr>
        <w:t>,</w:t>
      </w:r>
      <w:r w:rsidR="00AC3048" w:rsidRPr="00B91A8C">
        <w:rPr>
          <w:rFonts w:ascii="GHEA Grapalat" w:eastAsia="GHEA Grapalat" w:hAnsi="GHEA Grapalat" w:cs="GHEA Grapalat"/>
          <w:lang w:val="hy-AM" w:eastAsia="en-US"/>
        </w:rPr>
        <w:t xml:space="preserve"> համապատասխան կանխարգելիչ միջոցառումների չիրականացումը հղի է հանրային իշխանության մարմինների գործառույթների </w:t>
      </w:r>
      <w:r w:rsidR="00AC3048">
        <w:rPr>
          <w:rFonts w:ascii="GHEA Grapalat" w:eastAsia="GHEA Grapalat" w:hAnsi="GHEA Grapalat" w:cs="GHEA Grapalat"/>
          <w:lang w:val="hy-AM" w:eastAsia="en-US"/>
        </w:rPr>
        <w:t xml:space="preserve">պատշաճ </w:t>
      </w:r>
      <w:r w:rsidR="00AC3048" w:rsidRPr="00B91A8C">
        <w:rPr>
          <w:rFonts w:ascii="GHEA Grapalat" w:eastAsia="GHEA Grapalat" w:hAnsi="GHEA Grapalat" w:cs="GHEA Grapalat"/>
          <w:lang w:val="hy-AM" w:eastAsia="en-US"/>
        </w:rPr>
        <w:t>իրականաց</w:t>
      </w:r>
      <w:r w:rsidR="00AC3048">
        <w:rPr>
          <w:rFonts w:ascii="GHEA Grapalat" w:eastAsia="GHEA Grapalat" w:hAnsi="GHEA Grapalat" w:cs="GHEA Grapalat"/>
          <w:lang w:val="hy-AM" w:eastAsia="en-US"/>
        </w:rPr>
        <w:t>ման համար խոչընդոտներ ստեղծելու վտանգով: Պետությունը</w:t>
      </w:r>
      <w:r w:rsidR="00AC3048" w:rsidRPr="00A244DE">
        <w:rPr>
          <w:rFonts w:ascii="GHEA Grapalat" w:eastAsia="GHEA Grapalat" w:hAnsi="GHEA Grapalat" w:cs="GHEA Grapalat"/>
          <w:lang w:val="hy-AM" w:eastAsia="en-US"/>
        </w:rPr>
        <w:t>,</w:t>
      </w:r>
      <w:r w:rsidR="00AC3048">
        <w:rPr>
          <w:rFonts w:ascii="GHEA Grapalat" w:eastAsia="GHEA Grapalat" w:hAnsi="GHEA Grapalat" w:cs="GHEA Grapalat"/>
          <w:lang w:val="hy-AM" w:eastAsia="en-US"/>
        </w:rPr>
        <w:t xml:space="preserve"> այս համատեքստում</w:t>
      </w:r>
      <w:r w:rsidR="00AC3048" w:rsidRPr="00A244DE">
        <w:rPr>
          <w:rFonts w:ascii="GHEA Grapalat" w:eastAsia="GHEA Grapalat" w:hAnsi="GHEA Grapalat" w:cs="GHEA Grapalat"/>
          <w:lang w:val="hy-AM" w:eastAsia="en-US"/>
        </w:rPr>
        <w:t>՝</w:t>
      </w:r>
      <w:r w:rsidR="00AC3048">
        <w:rPr>
          <w:rFonts w:ascii="GHEA Grapalat" w:eastAsia="GHEA Grapalat" w:hAnsi="GHEA Grapalat" w:cs="GHEA Grapalat"/>
          <w:lang w:val="hy-AM" w:eastAsia="en-US"/>
        </w:rPr>
        <w:t xml:space="preserve"> որպես գործատու, </w:t>
      </w:r>
      <w:r w:rsidRPr="00E77588">
        <w:rPr>
          <w:rFonts w:ascii="GHEA Grapalat" w:eastAsia="GHEA Grapalat" w:hAnsi="GHEA Grapalat" w:cs="GHEA Grapalat"/>
          <w:lang w:val="hy-AM" w:eastAsia="en-US"/>
        </w:rPr>
        <w:t xml:space="preserve">նույնպես </w:t>
      </w:r>
      <w:r w:rsidR="00AC3048">
        <w:rPr>
          <w:rFonts w:ascii="GHEA Grapalat" w:eastAsia="GHEA Grapalat" w:hAnsi="GHEA Grapalat" w:cs="GHEA Grapalat"/>
          <w:lang w:val="hy-AM" w:eastAsia="en-US"/>
        </w:rPr>
        <w:t>կարող է սահմանել աշխատանքի կազմակերպման իր առանձնահատկությունները` հանրային իշխանության մարմիններում աշխատանքի բնականոն պայմաններն ու շարունակականությունն ապահովելու համար</w:t>
      </w:r>
      <w:r w:rsidRPr="00E77588">
        <w:rPr>
          <w:rFonts w:ascii="GHEA Grapalat" w:eastAsia="GHEA Grapalat" w:hAnsi="GHEA Grapalat" w:cs="GHEA Grapalat"/>
          <w:lang w:val="hy-AM" w:eastAsia="en-US"/>
        </w:rPr>
        <w:t xml:space="preserve">, հատկապես հաշվի առնելով, որ այդ մարմիններում ներկայումս աշխատում են ավելի քան 44,500 հանրային ծառայողներ (չհաշված </w:t>
      </w:r>
      <w:r w:rsidR="00AC3048" w:rsidRPr="00531669">
        <w:rPr>
          <w:rFonts w:ascii="GHEA Grapalat" w:eastAsia="GHEA Grapalat" w:hAnsi="GHEA Grapalat" w:cs="GHEA Grapalat"/>
          <w:lang w:val="hy-AM"/>
        </w:rPr>
        <w:t xml:space="preserve">Ազգային անվտանգության ծառայության </w:t>
      </w:r>
      <w:r w:rsidR="00054439">
        <w:rPr>
          <w:rFonts w:ascii="GHEA Grapalat" w:eastAsia="GHEA Grapalat" w:hAnsi="GHEA Grapalat" w:cs="GHEA Grapalat"/>
          <w:lang w:val="hy-AM"/>
        </w:rPr>
        <w:t>աշխատողների</w:t>
      </w:r>
      <w:r w:rsidR="00AC3048" w:rsidRPr="00531669">
        <w:rPr>
          <w:rFonts w:ascii="GHEA Grapalat" w:eastAsia="GHEA Grapalat" w:hAnsi="GHEA Grapalat" w:cs="GHEA Grapalat"/>
          <w:lang w:val="hy-AM"/>
        </w:rPr>
        <w:t xml:space="preserve">, Զինված ուժերի </w:t>
      </w:r>
      <w:r w:rsidRPr="00E77588">
        <w:rPr>
          <w:rFonts w:ascii="GHEA Grapalat" w:eastAsia="GHEA Grapalat" w:hAnsi="GHEA Grapalat" w:cs="GHEA Grapalat"/>
          <w:lang w:val="hy-AM"/>
        </w:rPr>
        <w:t>կազմի</w:t>
      </w:r>
      <w:r w:rsidR="00AC3048" w:rsidRPr="00531669">
        <w:rPr>
          <w:rFonts w:ascii="GHEA Grapalat" w:eastAsia="GHEA Grapalat" w:hAnsi="GHEA Grapalat" w:cs="GHEA Grapalat"/>
          <w:lang w:val="hy-AM"/>
        </w:rPr>
        <w:t>, Պաշտպանության նախարարության</w:t>
      </w:r>
      <w:r w:rsidRPr="00E77588">
        <w:rPr>
          <w:rFonts w:ascii="GHEA Grapalat" w:eastAsia="GHEA Grapalat" w:hAnsi="GHEA Grapalat" w:cs="GHEA Grapalat"/>
          <w:lang w:val="hy-AM"/>
        </w:rPr>
        <w:t xml:space="preserve"> որոշ կազմի</w:t>
      </w:r>
      <w:r w:rsidR="00AC3048" w:rsidRPr="00531669">
        <w:rPr>
          <w:rFonts w:ascii="GHEA Grapalat" w:eastAsia="GHEA Grapalat" w:hAnsi="GHEA Grapalat" w:cs="GHEA Grapalat"/>
          <w:lang w:val="hy-AM"/>
        </w:rPr>
        <w:t xml:space="preserve">, Ոստիկանության </w:t>
      </w:r>
      <w:r w:rsidRPr="00E77588">
        <w:rPr>
          <w:rFonts w:ascii="GHEA Grapalat" w:eastAsia="GHEA Grapalat" w:hAnsi="GHEA Grapalat" w:cs="GHEA Grapalat"/>
          <w:lang w:val="hy-AM"/>
        </w:rPr>
        <w:t xml:space="preserve">ծառայողների, այդ թվում՝ Ոստիկանության զորքերի, </w:t>
      </w:r>
      <w:r w:rsidR="00AC3048" w:rsidRPr="00531669">
        <w:rPr>
          <w:rFonts w:ascii="GHEA Grapalat" w:eastAsia="GHEA Grapalat" w:hAnsi="GHEA Grapalat" w:cs="GHEA Grapalat"/>
          <w:lang w:val="hy-AM"/>
        </w:rPr>
        <w:t xml:space="preserve">և </w:t>
      </w:r>
      <w:r w:rsidRPr="00E77588">
        <w:rPr>
          <w:rFonts w:ascii="GHEA Grapalat" w:eastAsia="GHEA Grapalat" w:hAnsi="GHEA Grapalat" w:cs="GHEA Grapalat"/>
          <w:lang w:val="hy-AM"/>
        </w:rPr>
        <w:t xml:space="preserve">դիվանագիտական </w:t>
      </w:r>
      <w:r w:rsidR="00AC3048" w:rsidRPr="00531669">
        <w:rPr>
          <w:rFonts w:ascii="GHEA Grapalat" w:eastAsia="GHEA Grapalat" w:hAnsi="GHEA Grapalat" w:cs="GHEA Grapalat"/>
          <w:lang w:val="hy-AM"/>
        </w:rPr>
        <w:t>ծառայողների թիվը</w:t>
      </w:r>
      <w:r w:rsidR="00AC3048">
        <w:rPr>
          <w:rStyle w:val="aa"/>
          <w:rFonts w:ascii="GHEA Grapalat" w:eastAsia="GHEA Grapalat" w:hAnsi="GHEA Grapalat" w:cs="GHEA Grapalat"/>
          <w:lang w:val="hy-AM"/>
        </w:rPr>
        <w:footnoteReference w:id="5"/>
      </w:r>
      <w:r w:rsidRPr="00E77588">
        <w:rPr>
          <w:rFonts w:ascii="GHEA Grapalat" w:eastAsia="GHEA Grapalat" w:hAnsi="GHEA Grapalat" w:cs="GHEA Grapalat"/>
          <w:lang w:val="hy-AM" w:eastAsia="en-US"/>
        </w:rPr>
        <w:t>):</w:t>
      </w:r>
      <w:r w:rsidR="00AC3048" w:rsidRPr="00C24393">
        <w:rPr>
          <w:rFonts w:ascii="GHEA Grapalat" w:eastAsia="GHEA Grapalat" w:hAnsi="GHEA Grapalat" w:cs="GHEA Grapalat"/>
          <w:lang w:val="hy-AM" w:eastAsia="en-US"/>
        </w:rPr>
        <w:t xml:space="preserve"> </w:t>
      </w:r>
      <w:r w:rsidR="00AC3048" w:rsidRPr="00A244DE">
        <w:rPr>
          <w:rFonts w:ascii="GHEA Grapalat" w:eastAsia="GHEA Grapalat" w:hAnsi="GHEA Grapalat" w:cs="GHEA Grapalat"/>
          <w:lang w:val="hy-AM" w:eastAsia="en-US"/>
        </w:rPr>
        <w:t>Հարկ է նկատել</w:t>
      </w:r>
      <w:r w:rsidRPr="00E77588">
        <w:rPr>
          <w:rFonts w:ascii="GHEA Grapalat" w:eastAsia="GHEA Grapalat" w:hAnsi="GHEA Grapalat" w:cs="GHEA Grapalat"/>
          <w:lang w:val="hy-AM" w:eastAsia="en-US"/>
        </w:rPr>
        <w:t xml:space="preserve"> նաև</w:t>
      </w:r>
      <w:r w:rsidR="00AC3048" w:rsidRPr="00A244DE">
        <w:rPr>
          <w:rFonts w:ascii="GHEA Grapalat" w:eastAsia="GHEA Grapalat" w:hAnsi="GHEA Grapalat" w:cs="GHEA Grapalat"/>
          <w:lang w:val="hy-AM" w:eastAsia="en-US"/>
        </w:rPr>
        <w:t xml:space="preserve">, որ, ի տարբերություն մասնավոր ոլորտի, հանրային ծառայողները և հանրային պաշտոն զբաղեցնող անձինք ունեն առանձնահատուկ կարգավիճակ. նրանց կարգավիճակը, լիազորությունները, իրավունքներն ու պարտականությունները սահմանվում են առանձին օրենսդրությամբ, նրանց նկատմամբ գործում են առանձնահատուկ, երբեմն խիստ պահանջներ ու սահմանափակումներ` ձեռնարկատիրական գործունեությամբ զբաղվելու արգելք, գործունեության այլ տեսակներով զբաղվելու սահմանափակումներ, գույքի և եկամուտների հայտարարագրման պարտականություններ, վարքագծի կանոններ, լիազորությունների դադարեցման հիմքեր (ընդ որում, նման տարբերակման օբյեկտիվ հնարավորության հանգամանքը շեշտադրված է նաև </w:t>
      </w:r>
      <w:r w:rsidRPr="00E77588">
        <w:rPr>
          <w:rFonts w:ascii="GHEA Grapalat" w:eastAsia="GHEA Grapalat" w:hAnsi="GHEA Grapalat" w:cs="GHEA Grapalat"/>
          <w:lang w:val="hy-AM" w:eastAsia="en-US"/>
        </w:rPr>
        <w:t xml:space="preserve">«Հանրային ծառայության մասին օրենքի» (այսուհետ՝ </w:t>
      </w:r>
      <w:r w:rsidR="00AC3048">
        <w:rPr>
          <w:rFonts w:ascii="GHEA Grapalat" w:eastAsia="GHEA Grapalat" w:hAnsi="GHEA Grapalat" w:cs="GHEA Grapalat"/>
          <w:lang w:val="hy-AM" w:eastAsia="en-US"/>
        </w:rPr>
        <w:t>Օրենք</w:t>
      </w:r>
      <w:r w:rsidRPr="00E77588">
        <w:rPr>
          <w:rFonts w:ascii="GHEA Grapalat" w:eastAsia="GHEA Grapalat" w:hAnsi="GHEA Grapalat" w:cs="GHEA Grapalat"/>
          <w:lang w:val="hy-AM" w:eastAsia="en-US"/>
        </w:rPr>
        <w:t>)</w:t>
      </w:r>
      <w:r w:rsidR="00AC3048" w:rsidRPr="00A244DE">
        <w:rPr>
          <w:rFonts w:ascii="GHEA Grapalat" w:eastAsia="GHEA Grapalat" w:hAnsi="GHEA Grapalat" w:cs="GHEA Grapalat"/>
          <w:lang w:val="hy-AM" w:eastAsia="en-US"/>
        </w:rPr>
        <w:t xml:space="preserve"> գործող 16-րդ հոդվածով, որը նախատեսում է ծառայությունը դադարեցնելու հետ կապված այլ, առանձնահատուկ դեպքեր և հիմքեր սահմանելու հնարավորությունը) և այդպես շարունակ: Այսինքն, հանրային ծառայողներն ու հանրային պաշտոն զբաղեցնողներն իրենց կարգավիճակից ելնելով օբյեկտիվորեն տարբերվում են այլ ոլորտի աշխատակիցներից, ընդհուպ` իրենց հիմնական </w:t>
      </w:r>
      <w:r w:rsidR="00AC3048" w:rsidRPr="00A244DE">
        <w:rPr>
          <w:rFonts w:ascii="GHEA Grapalat" w:eastAsia="GHEA Grapalat" w:hAnsi="GHEA Grapalat" w:cs="GHEA Grapalat"/>
          <w:lang w:val="hy-AM" w:eastAsia="en-US"/>
        </w:rPr>
        <w:lastRenderedPageBreak/>
        <w:t>իրավունքների և ազատությունների որոշակի սահմանափակումներով</w:t>
      </w:r>
      <w:r w:rsidRPr="00E77588">
        <w:rPr>
          <w:rFonts w:ascii="GHEA Grapalat" w:eastAsia="GHEA Grapalat" w:hAnsi="GHEA Grapalat" w:cs="GHEA Grapalat"/>
          <w:lang w:val="hy-AM" w:eastAsia="en-US"/>
        </w:rPr>
        <w:t>, ինչով պայմանավորված է նրանց համար հատուկ կարգավորումների նախատեսումը</w:t>
      </w:r>
      <w:r w:rsidR="00AC3048">
        <w:rPr>
          <w:rFonts w:ascii="GHEA Grapalat" w:eastAsia="GHEA Grapalat" w:hAnsi="GHEA Grapalat" w:cs="GHEA Grapalat"/>
          <w:lang w:val="hy-AM" w:eastAsia="en-US"/>
        </w:rPr>
        <w:t>:</w:t>
      </w:r>
    </w:p>
    <w:p w:rsidR="00DE2670" w:rsidRPr="00D04A3B" w:rsidRDefault="00DE2670" w:rsidP="00356EC4">
      <w:pPr>
        <w:spacing w:line="360" w:lineRule="auto"/>
        <w:ind w:firstLine="720"/>
        <w:jc w:val="both"/>
        <w:rPr>
          <w:rFonts w:ascii="GHEA Grapalat" w:eastAsia="GHEA Grapalat" w:hAnsi="GHEA Grapalat" w:cs="GHEA Grapalat"/>
          <w:lang w:val="hy-AM" w:eastAsia="en-US"/>
        </w:rPr>
      </w:pPr>
      <w:r w:rsidRPr="00A244DE">
        <w:rPr>
          <w:rFonts w:ascii="GHEA Grapalat" w:eastAsia="GHEA Grapalat" w:hAnsi="GHEA Grapalat" w:cs="GHEA Grapalat"/>
          <w:lang w:val="hy-AM" w:eastAsia="en-US"/>
        </w:rPr>
        <w:t>Հետաքրքրական է, որ ԱՄՆ-ում նույնպես առանձնակի շեշտադրում է արվում հանրային ծառայության կարևորության վրա, որտեղ նախա</w:t>
      </w:r>
      <w:r>
        <w:rPr>
          <w:rFonts w:ascii="GHEA Grapalat" w:eastAsia="GHEA Grapalat" w:hAnsi="GHEA Grapalat" w:cs="GHEA Grapalat"/>
          <w:lang w:val="hy-AM" w:eastAsia="en-US"/>
        </w:rPr>
        <w:t>տ</w:t>
      </w:r>
      <w:r w:rsidRPr="00A244DE">
        <w:rPr>
          <w:rFonts w:ascii="GHEA Grapalat" w:eastAsia="GHEA Grapalat" w:hAnsi="GHEA Grapalat" w:cs="GHEA Grapalat"/>
          <w:lang w:val="hy-AM" w:eastAsia="en-US"/>
        </w:rPr>
        <w:t>եսվել է դաշնային ծառայողների պարտադիր պատվաստման պահանջը</w:t>
      </w:r>
      <w:r>
        <w:rPr>
          <w:rStyle w:val="aa"/>
          <w:rFonts w:ascii="GHEA Grapalat" w:eastAsia="GHEA Grapalat" w:hAnsi="GHEA Grapalat" w:cs="GHEA Grapalat"/>
          <w:lang w:val="en-US" w:eastAsia="en-US"/>
        </w:rPr>
        <w:footnoteReference w:id="6"/>
      </w:r>
      <w:r w:rsidRPr="00A244DE">
        <w:rPr>
          <w:rFonts w:ascii="GHEA Grapalat" w:eastAsia="GHEA Grapalat" w:hAnsi="GHEA Grapalat" w:cs="GHEA Grapalat"/>
          <w:lang w:val="hy-AM" w:eastAsia="en-US"/>
        </w:rPr>
        <w:t>:</w:t>
      </w:r>
    </w:p>
    <w:p w:rsidR="0065243E" w:rsidRPr="00661EAA" w:rsidRDefault="003502A8" w:rsidP="0065243E">
      <w:pPr>
        <w:tabs>
          <w:tab w:val="left" w:pos="10260"/>
        </w:tabs>
        <w:spacing w:line="360" w:lineRule="auto"/>
        <w:ind w:right="32" w:firstLine="720"/>
        <w:jc w:val="both"/>
        <w:rPr>
          <w:rFonts w:ascii="GHEA Grapalat" w:hAnsi="GHEA Grapalat"/>
          <w:lang w:val="hy-AM" w:eastAsia="en-US"/>
        </w:rPr>
      </w:pPr>
      <w:r w:rsidRPr="00A244DE">
        <w:rPr>
          <w:rFonts w:ascii="GHEA Grapalat" w:eastAsia="GHEA Grapalat" w:hAnsi="GHEA Grapalat" w:cs="GHEA Grapalat"/>
          <w:lang w:val="hy-AM" w:eastAsia="en-US"/>
        </w:rPr>
        <w:t xml:space="preserve">Հատկանշական է, որ նույնիսկ վարակի տարածման կանխարգելման ամենախիստ միջոցի՝ պատվաստման առնչությամբ ձևավորված՝ Մարդու իրավունքների եվրոպական դատարանի (այսուհետ՝ </w:t>
      </w:r>
      <w:r w:rsidR="0065243E" w:rsidRPr="00661EAA">
        <w:rPr>
          <w:rFonts w:ascii="GHEA Grapalat" w:eastAsia="GHEA Grapalat" w:hAnsi="GHEA Grapalat" w:cs="GHEA Grapalat"/>
          <w:lang w:val="hy-AM" w:eastAsia="en-US"/>
        </w:rPr>
        <w:t>ՄԻԵԴ</w:t>
      </w:r>
      <w:r w:rsidRPr="00A244DE">
        <w:rPr>
          <w:rFonts w:ascii="GHEA Grapalat" w:eastAsia="GHEA Grapalat" w:hAnsi="GHEA Grapalat" w:cs="GHEA Grapalat"/>
          <w:lang w:val="hy-AM" w:eastAsia="en-US"/>
        </w:rPr>
        <w:t xml:space="preserve">) նախադեպային պրակտիկան ընդունելի է համարում պատվաստման պահանջների նախատեսումը: </w:t>
      </w:r>
      <w:r w:rsidRPr="006A0B83">
        <w:rPr>
          <w:rFonts w:ascii="GHEA Grapalat" w:eastAsia="GHEA Grapalat" w:hAnsi="GHEA Grapalat" w:cs="GHEA Grapalat"/>
          <w:lang w:val="hy-AM" w:eastAsia="en-US"/>
        </w:rPr>
        <w:t>Այսպես, ՄԻԵԴ</w:t>
      </w:r>
      <w:r w:rsidR="0065243E" w:rsidRPr="006A0B83">
        <w:rPr>
          <w:rFonts w:ascii="GHEA Grapalat" w:eastAsia="GHEA Grapalat" w:hAnsi="GHEA Grapalat" w:cs="GHEA Grapalat"/>
          <w:lang w:val="hy-AM" w:eastAsia="en-US"/>
        </w:rPr>
        <w:t xml:space="preserve">-ը </w:t>
      </w:r>
      <w:r w:rsidR="0065243E" w:rsidRPr="006A0B83">
        <w:rPr>
          <w:rFonts w:ascii="GHEA Grapalat" w:hAnsi="GHEA Grapalat"/>
          <w:lang w:val="hy-AM" w:eastAsia="en-US"/>
        </w:rPr>
        <w:t>Վավրիկան և այլոք ընդդեմ Չեխիայի Հանրապետության գործով (երեխաների պարտադիր պատվաստումների վերաբերյալ)` եզրահ</w:t>
      </w:r>
      <w:r w:rsidR="006A0B83" w:rsidRPr="006A0B83">
        <w:rPr>
          <w:rFonts w:ascii="GHEA Grapalat" w:hAnsi="GHEA Grapalat"/>
          <w:lang w:val="hy-AM" w:eastAsia="en-US"/>
        </w:rPr>
        <w:t>անգել է</w:t>
      </w:r>
      <w:r w:rsidR="0065243E" w:rsidRPr="006A0B83">
        <w:rPr>
          <w:rFonts w:ascii="GHEA Grapalat" w:hAnsi="GHEA Grapalat"/>
          <w:lang w:val="hy-AM" w:eastAsia="en-US"/>
        </w:rPr>
        <w:t>, որ քննարկվող դեպքում պատվաստման պահանջը բխում է անհատների և հասարակության առողջության պահպանման և երեխաների շրջանում պատվաստման մակարդակի նվազման կանխարգելման հրատապ սոցիալական անհրաժեշտությունից</w:t>
      </w:r>
      <w:r w:rsidR="0065243E" w:rsidRPr="006A0B83">
        <w:rPr>
          <w:rFonts w:ascii="GHEA Grapalat" w:hAnsi="GHEA Grapalat"/>
          <w:vertAlign w:val="superscript"/>
          <w:lang w:val="hy-AM" w:eastAsia="en-US"/>
        </w:rPr>
        <w:footnoteReference w:id="7"/>
      </w:r>
      <w:r w:rsidR="0065243E" w:rsidRPr="006A0B83">
        <w:rPr>
          <w:rFonts w:ascii="GHEA Grapalat" w:hAnsi="GHEA Grapalat"/>
          <w:lang w:val="hy-AM" w:eastAsia="en-US"/>
        </w:rPr>
        <w:t>:</w:t>
      </w:r>
      <w:r w:rsidR="0065243E" w:rsidRPr="00661EAA">
        <w:rPr>
          <w:rFonts w:ascii="GHEA Grapalat" w:hAnsi="GHEA Grapalat"/>
          <w:lang w:val="hy-AM" w:eastAsia="en-US"/>
        </w:rPr>
        <w:t xml:space="preserve"> ՄԻԵԴ-ն իրավաչափ է համարել նաև չպատվաստվելու դեպքում չեխական օրենսդրությամբ նախատեսված սանկցիան, այն է՝ տուգանք՝ մինչև 10.000 չեխական կրոնա (մոտ 400 եվրո)։ </w:t>
      </w:r>
    </w:p>
    <w:p w:rsidR="0065243E" w:rsidRPr="00661EAA" w:rsidRDefault="0065243E" w:rsidP="006A0B83">
      <w:pPr>
        <w:spacing w:line="360" w:lineRule="auto"/>
        <w:ind w:firstLine="720"/>
        <w:jc w:val="both"/>
        <w:rPr>
          <w:rFonts w:ascii="GHEA Grapalat" w:hAnsi="GHEA Grapalat"/>
          <w:lang w:val="hy-AM" w:eastAsia="en-US"/>
        </w:rPr>
      </w:pPr>
      <w:r w:rsidRPr="00661EAA">
        <w:rPr>
          <w:rFonts w:ascii="GHEA Grapalat" w:eastAsia="GHEA Grapalat" w:hAnsi="GHEA Grapalat" w:cs="GHEA Grapalat"/>
          <w:highlight w:val="white"/>
          <w:lang w:val="hy-AM" w:eastAsia="en-US"/>
        </w:rPr>
        <w:t xml:space="preserve">Նման եզրահանգումը ՄԻԵԴ-ը հիմնավորել է այն պատճառաբանությամբ, որ </w:t>
      </w:r>
      <w:r w:rsidRPr="00661EAA">
        <w:rPr>
          <w:rFonts w:ascii="GHEA Grapalat" w:hAnsi="GHEA Grapalat"/>
          <w:lang w:val="hy-AM" w:eastAsia="en-US"/>
        </w:rPr>
        <w:t xml:space="preserve">պետությունները պատվաստման վերաբերյալ քաղաքականություն մշակելիս և իրականացնելիս, որպես կանոն, օժտված են հայեցողության լայն շրջանակով (կետ 274): Արձանագրելով, որ Կոնվենցիայի անդամ պետություններն ունեն պոզիտիվ պարտականություն՝ պաշտպանելու իրենց իրավազորության ներքո գտնվող քաղաքացիների կյանքը և առողջությունը, ինչպես նաև հաշվի առնելով քննարկվող դեպքում պատվաստման կարևորությունը փաստող առկա մասնագիտական կարծիքները՝ Եվրոպական դատարանը եզրահանգել է, որ քննարկվող դեպքում պարտադիր պատվաստման պահանջը բխում է անհատների և հասարակության առողջության պահպանման և երեխաների շրջանում պատվաստման մակարդակի </w:t>
      </w:r>
      <w:r w:rsidRPr="00661EAA">
        <w:rPr>
          <w:rFonts w:ascii="GHEA Grapalat" w:hAnsi="GHEA Grapalat"/>
          <w:lang w:val="hy-AM" w:eastAsia="en-US"/>
        </w:rPr>
        <w:lastRenderedPageBreak/>
        <w:t xml:space="preserve">նվազման կանխարգելման հրատապ սոցիալական անհրաժեշտությունից (կետ 282-338): Ընդ որում, Եվրոպական դատարանը հատուկ կարևորել է այն հանգամանքը, որ չեխական օրենսդրությամբ չեն նախատեսում մեխանիզմներ, որոնց կիրառմամբ անձը հարկադիր կերպով (ուժի կիրառմամբ կամ նման այլ միջոցներով) կարող է պատվաստվել։ Պատվաստման պարտադիրության վերաբերյալ պահանջների կատարումն ապահովվում է «անուղղակի» հարկադրանքի, այն է՝ տուգանքների կիրառման միջոցով։ </w:t>
      </w:r>
    </w:p>
    <w:p w:rsidR="0065243E" w:rsidRPr="00A244DE" w:rsidRDefault="0065243E" w:rsidP="003502A8">
      <w:pPr>
        <w:spacing w:line="360" w:lineRule="auto"/>
        <w:ind w:firstLine="560"/>
        <w:jc w:val="both"/>
        <w:rPr>
          <w:rFonts w:ascii="GHEA Grapalat" w:hAnsi="GHEA Grapalat"/>
          <w:lang w:val="hy-AM" w:eastAsia="en-US"/>
        </w:rPr>
      </w:pPr>
      <w:r w:rsidRPr="00661EAA">
        <w:rPr>
          <w:rFonts w:ascii="GHEA Grapalat" w:hAnsi="GHEA Grapalat"/>
          <w:lang w:val="hy-AM" w:eastAsia="en-US"/>
        </w:rPr>
        <w:t xml:space="preserve">Սոլոմախինն ընդդեմ Ուկրաինայի գործով </w:t>
      </w:r>
      <w:r w:rsidRPr="00661EAA">
        <w:rPr>
          <w:rFonts w:ascii="GHEA Grapalat" w:eastAsia="GHEA Grapalat" w:hAnsi="GHEA Grapalat" w:cs="GHEA Grapalat"/>
          <w:highlight w:val="white"/>
          <w:lang w:val="hy-AM" w:eastAsia="en-US"/>
        </w:rPr>
        <w:t>ՄԻԵԴ-</w:t>
      </w:r>
      <w:r w:rsidRPr="00661EAA">
        <w:rPr>
          <w:rFonts w:ascii="GHEA Grapalat" w:hAnsi="GHEA Grapalat"/>
          <w:lang w:val="hy-AM" w:eastAsia="en-US"/>
        </w:rPr>
        <w:t>ն արձանագրել է, որ պարտադիր պատվաստումը միջամտություն է Մարդու իրավունքների եվրոպական կոնվենցիայի 8-րդ հոդվածով երաշխավորված անձնական և ընտանեկան կյանքը հարգելու իրավունքին: Այնուամենայնիվ, Եվրոպական դատարանը եզրակացրել է, որ այդպիսի միջամտությունը կարող է հիմնավորված և, հետևաբար, իրավաչափ լինել, եթե այն անհրաժեշտ է վարակիչ հիվանդությունների տարածումը կանխելու համար</w:t>
      </w:r>
      <w:r w:rsidRPr="00661EAA">
        <w:rPr>
          <w:rFonts w:ascii="GHEA Grapalat" w:hAnsi="GHEA Grapalat"/>
          <w:vertAlign w:val="superscript"/>
          <w:lang w:val="hy-AM" w:eastAsia="en-US"/>
        </w:rPr>
        <w:footnoteReference w:id="8"/>
      </w:r>
      <w:r w:rsidRPr="00661EAA">
        <w:rPr>
          <w:rFonts w:ascii="GHEA Grapalat" w:hAnsi="GHEA Grapalat"/>
          <w:lang w:val="hy-AM" w:eastAsia="en-US"/>
        </w:rPr>
        <w:t>:</w:t>
      </w:r>
    </w:p>
    <w:p w:rsidR="0065243E" w:rsidRPr="000C590B" w:rsidRDefault="0065243E" w:rsidP="0065243E">
      <w:pPr>
        <w:pBdr>
          <w:top w:val="nil"/>
          <w:left w:val="nil"/>
          <w:bottom w:val="nil"/>
          <w:right w:val="nil"/>
          <w:between w:val="nil"/>
        </w:pBdr>
        <w:spacing w:line="360" w:lineRule="auto"/>
        <w:jc w:val="both"/>
        <w:rPr>
          <w:rFonts w:ascii="GHEA Grapalat" w:eastAsia="GHEA Grapalat" w:hAnsi="GHEA Grapalat" w:cs="GHEA Grapalat"/>
          <w:color w:val="1C1E21"/>
          <w:highlight w:val="white"/>
          <w:lang w:val="hy-AM" w:eastAsia="en-US"/>
        </w:rPr>
      </w:pPr>
    </w:p>
    <w:p w:rsidR="0065243E" w:rsidRPr="000C590B" w:rsidRDefault="0065243E" w:rsidP="0065243E">
      <w:pPr>
        <w:pBdr>
          <w:top w:val="nil"/>
          <w:left w:val="nil"/>
          <w:bottom w:val="nil"/>
          <w:right w:val="nil"/>
          <w:between w:val="nil"/>
        </w:pBdr>
        <w:spacing w:line="360" w:lineRule="auto"/>
        <w:ind w:firstLine="720"/>
        <w:jc w:val="both"/>
        <w:rPr>
          <w:rFonts w:ascii="GHEA Grapalat" w:eastAsia="GHEA Grapalat" w:hAnsi="GHEA Grapalat" w:cs="GHEA Grapalat"/>
          <w:b/>
          <w:color w:val="000000"/>
          <w:lang w:val="hy-AM" w:eastAsia="en-US"/>
        </w:rPr>
      </w:pPr>
      <w:r w:rsidRPr="000C590B">
        <w:rPr>
          <w:rFonts w:ascii="GHEA Grapalat" w:eastAsia="GHEA Grapalat" w:hAnsi="GHEA Grapalat" w:cs="GHEA Grapalat"/>
          <w:b/>
          <w:color w:val="000000"/>
          <w:lang w:val="hy-AM" w:eastAsia="en-US"/>
        </w:rPr>
        <w:t>2. Առաջարկվող կարգավորման բնույթը</w:t>
      </w:r>
    </w:p>
    <w:p w:rsidR="00D7702A" w:rsidRPr="00D04A3B" w:rsidRDefault="0065243E" w:rsidP="0065243E">
      <w:pPr>
        <w:spacing w:line="360" w:lineRule="auto"/>
        <w:ind w:firstLine="708"/>
        <w:jc w:val="both"/>
        <w:rPr>
          <w:rFonts w:ascii="GHEA Grapalat" w:eastAsia="GHEA Grapalat" w:hAnsi="GHEA Grapalat" w:cs="GHEA Grapalat"/>
          <w:lang w:val="hy-AM" w:eastAsia="en-US"/>
        </w:rPr>
      </w:pPr>
      <w:r w:rsidRPr="003E4015">
        <w:rPr>
          <w:rFonts w:ascii="GHEA Grapalat" w:eastAsia="GHEA Grapalat" w:hAnsi="GHEA Grapalat" w:cs="GHEA Grapalat"/>
          <w:lang w:val="hy-AM" w:eastAsia="en-US"/>
        </w:rPr>
        <w:t>Նախագծ</w:t>
      </w:r>
      <w:r w:rsidR="00E77588" w:rsidRPr="00E77588">
        <w:rPr>
          <w:rFonts w:ascii="GHEA Grapalat" w:eastAsia="GHEA Grapalat" w:hAnsi="GHEA Grapalat" w:cs="GHEA Grapalat"/>
          <w:lang w:val="hy-AM" w:eastAsia="en-US"/>
        </w:rPr>
        <w:t>եր</w:t>
      </w:r>
      <w:r w:rsidRPr="003E4015">
        <w:rPr>
          <w:rFonts w:ascii="GHEA Grapalat" w:eastAsia="GHEA Grapalat" w:hAnsi="GHEA Grapalat" w:cs="GHEA Grapalat"/>
          <w:lang w:val="hy-AM" w:eastAsia="en-US"/>
        </w:rPr>
        <w:t xml:space="preserve">ով առաջարկվում է </w:t>
      </w:r>
      <w:r w:rsidR="00E77588" w:rsidRPr="00E77588">
        <w:rPr>
          <w:rFonts w:ascii="GHEA Grapalat" w:eastAsia="GHEA Grapalat" w:hAnsi="GHEA Grapalat" w:cs="GHEA Grapalat"/>
          <w:lang w:val="hy-AM" w:eastAsia="en-US"/>
        </w:rPr>
        <w:t>Աշխատանքային օրենսգրքում և Օ</w:t>
      </w:r>
      <w:r w:rsidRPr="003E4015">
        <w:rPr>
          <w:rFonts w:ascii="GHEA Grapalat" w:eastAsia="GHEA Grapalat" w:hAnsi="GHEA Grapalat" w:cs="GHEA Grapalat"/>
          <w:lang w:val="hy-AM" w:eastAsia="en-US"/>
        </w:rPr>
        <w:t xml:space="preserve">րենքում կատարել </w:t>
      </w:r>
      <w:r w:rsidR="00E77588" w:rsidRPr="00E77588">
        <w:rPr>
          <w:rFonts w:ascii="GHEA Grapalat" w:eastAsia="GHEA Grapalat" w:hAnsi="GHEA Grapalat" w:cs="GHEA Grapalat"/>
          <w:lang w:val="hy-AM" w:eastAsia="en-US"/>
        </w:rPr>
        <w:t xml:space="preserve">լրացումներ և </w:t>
      </w:r>
      <w:r w:rsidR="00513BD9">
        <w:rPr>
          <w:rFonts w:ascii="GHEA Grapalat" w:eastAsia="GHEA Grapalat" w:hAnsi="GHEA Grapalat" w:cs="GHEA Grapalat"/>
          <w:lang w:val="hy-AM" w:eastAsia="en-US"/>
        </w:rPr>
        <w:t>փոփոխություն</w:t>
      </w:r>
      <w:r w:rsidRPr="003E4015">
        <w:rPr>
          <w:rFonts w:ascii="GHEA Grapalat" w:eastAsia="GHEA Grapalat" w:hAnsi="GHEA Grapalat" w:cs="GHEA Grapalat"/>
          <w:lang w:val="hy-AM" w:eastAsia="en-US"/>
        </w:rPr>
        <w:t>, որոնցով սահմանվում են</w:t>
      </w:r>
      <w:r w:rsidRPr="003E4015">
        <w:rPr>
          <w:rFonts w:ascii="GHEA Grapalat" w:eastAsia="GHEA Grapalat" w:hAnsi="GHEA Grapalat" w:cs="GHEA Grapalat"/>
          <w:b/>
          <w:lang w:val="hy-AM" w:eastAsia="en-US"/>
        </w:rPr>
        <w:t xml:space="preserve"> </w:t>
      </w:r>
      <w:r w:rsidR="00E77588" w:rsidRPr="00E77588">
        <w:rPr>
          <w:rFonts w:ascii="GHEA Grapalat" w:eastAsia="GHEA Grapalat" w:hAnsi="GHEA Grapalat" w:cs="GHEA Grapalat"/>
          <w:lang w:val="hy-AM" w:eastAsia="en-US"/>
        </w:rPr>
        <w:t xml:space="preserve">աշխատողին աշխատանքի չթույլատրելու, գործատուի կողմից աշխատանքային պայմանագիրը միակողմանիորեն լուծելու, </w:t>
      </w:r>
      <w:r w:rsidRPr="003E4015">
        <w:rPr>
          <w:rFonts w:ascii="GHEA Grapalat" w:eastAsia="GHEA Grapalat" w:hAnsi="GHEA Grapalat" w:cs="GHEA Grapalat"/>
          <w:lang w:val="hy-AM" w:eastAsia="en-US"/>
        </w:rPr>
        <w:t>հանրային պաշտոն զբաղեցնող անձին կամ հանրային ծառայողին աշխատանքի չթույլատրելու և լիազորությունների դադարեցման կամ զբաղեցրած պաշտոնից ազատելու հատուկ հիմքերը</w:t>
      </w:r>
      <w:r w:rsidR="00E77588" w:rsidRPr="00E77588">
        <w:rPr>
          <w:rFonts w:ascii="GHEA Grapalat" w:eastAsia="GHEA Grapalat" w:hAnsi="GHEA Grapalat" w:cs="GHEA Grapalat"/>
          <w:lang w:val="hy-AM" w:eastAsia="en-US"/>
        </w:rPr>
        <w:t>: Իր հերթին,</w:t>
      </w:r>
      <w:r w:rsidRPr="003E4015">
        <w:rPr>
          <w:rFonts w:ascii="GHEA Grapalat" w:eastAsia="GHEA Grapalat" w:hAnsi="GHEA Grapalat" w:cs="GHEA Grapalat"/>
          <w:lang w:val="hy-AM" w:eastAsia="en-US"/>
        </w:rPr>
        <w:t xml:space="preserve"> Օրենքի </w:t>
      </w:r>
      <w:r w:rsidR="00E77588" w:rsidRPr="00E77588">
        <w:rPr>
          <w:rFonts w:ascii="GHEA Grapalat" w:eastAsia="GHEA Grapalat" w:hAnsi="GHEA Grapalat" w:cs="GHEA Grapalat"/>
          <w:lang w:val="hy-AM" w:eastAsia="en-US"/>
        </w:rPr>
        <w:t xml:space="preserve">առաջարկվող կարգավորումների </w:t>
      </w:r>
      <w:r w:rsidRPr="003E4015">
        <w:rPr>
          <w:rFonts w:ascii="GHEA Grapalat" w:eastAsia="GHEA Grapalat" w:hAnsi="GHEA Grapalat" w:cs="GHEA Grapalat"/>
          <w:lang w:val="hy-AM" w:eastAsia="en-US"/>
        </w:rPr>
        <w:t>գործողությունը տարած</w:t>
      </w:r>
      <w:r w:rsidR="00E77588" w:rsidRPr="00E77588">
        <w:rPr>
          <w:rFonts w:ascii="GHEA Grapalat" w:eastAsia="GHEA Grapalat" w:hAnsi="GHEA Grapalat" w:cs="GHEA Grapalat"/>
          <w:lang w:val="hy-AM" w:eastAsia="en-US"/>
        </w:rPr>
        <w:t>վելու է</w:t>
      </w:r>
      <w:r w:rsidRPr="003E4015">
        <w:rPr>
          <w:rFonts w:ascii="GHEA Grapalat" w:eastAsia="GHEA Grapalat" w:hAnsi="GHEA Grapalat" w:cs="GHEA Grapalat"/>
          <w:lang w:val="hy-AM" w:eastAsia="en-US"/>
        </w:rPr>
        <w:t xml:space="preserve"> հանրային ծառայությունը ընդգրկող </w:t>
      </w:r>
      <w:r w:rsidRPr="003E4015">
        <w:rPr>
          <w:rFonts w:ascii="GHEA Grapalat" w:eastAsia="GHEA Grapalat" w:hAnsi="GHEA Grapalat" w:cs="GHEA Grapalat"/>
          <w:b/>
          <w:lang w:val="hy-AM" w:eastAsia="en-US"/>
        </w:rPr>
        <w:t>պետական ծառայության, համայնքային ծառայության և հանրային պաշտոնների վրա</w:t>
      </w:r>
      <w:r w:rsidRPr="003E4015">
        <w:rPr>
          <w:rFonts w:ascii="GHEA Grapalat" w:eastAsia="GHEA Grapalat" w:hAnsi="GHEA Grapalat" w:cs="GHEA Grapalat"/>
          <w:lang w:val="hy-AM" w:eastAsia="en-US"/>
        </w:rPr>
        <w:t>։</w:t>
      </w:r>
    </w:p>
    <w:p w:rsidR="0065243E" w:rsidRDefault="00E77588" w:rsidP="00F85A42">
      <w:pPr>
        <w:spacing w:line="360" w:lineRule="auto"/>
        <w:ind w:firstLine="708"/>
        <w:jc w:val="both"/>
        <w:rPr>
          <w:rFonts w:ascii="GHEA Grapalat" w:eastAsia="GHEA Grapalat" w:hAnsi="GHEA Grapalat" w:cs="GHEA Grapalat"/>
          <w:lang w:val="hy-AM" w:eastAsia="en-US"/>
        </w:rPr>
      </w:pPr>
      <w:r w:rsidRPr="00E77588">
        <w:rPr>
          <w:rFonts w:ascii="GHEA Grapalat" w:eastAsia="GHEA Grapalat" w:hAnsi="GHEA Grapalat" w:cs="GHEA Grapalat"/>
          <w:lang w:val="hy-AM" w:eastAsia="en-US"/>
        </w:rPr>
        <w:t>Այսպես, որպես աշխատանքի (ծառայության) չթույլատրման հիմք սահմանվում է</w:t>
      </w:r>
      <w:r w:rsidR="0065243E" w:rsidRPr="003E4015">
        <w:rPr>
          <w:rFonts w:ascii="GHEA Grapalat" w:eastAsia="GHEA Grapalat" w:hAnsi="GHEA Grapalat" w:cs="GHEA Grapalat"/>
          <w:lang w:val="hy-AM" w:eastAsia="en-US"/>
        </w:rPr>
        <w:t xml:space="preserve"> </w:t>
      </w:r>
      <w:r w:rsidR="0043566D" w:rsidRPr="0043566D">
        <w:rPr>
          <w:rFonts w:ascii="GHEA Grapalat" w:eastAsia="Tahoma" w:hAnsi="GHEA Grapalat" w:cs="Tahoma"/>
          <w:color w:val="000000"/>
          <w:lang w:val="hy-AM"/>
        </w:rPr>
        <w:t>սանիտարահամաճարակային անվտանգության կանոններով սահմանված` աշխատանքի (ծառայության) ներկայանալու անհրաժեշտ պայման հանդիսացող փաստաթղթեր</w:t>
      </w:r>
      <w:r w:rsidRPr="00E77588">
        <w:rPr>
          <w:rFonts w:ascii="GHEA Grapalat" w:eastAsia="Tahoma" w:hAnsi="GHEA Grapalat" w:cs="Tahoma"/>
          <w:color w:val="000000"/>
          <w:lang w:val="hy-AM"/>
        </w:rPr>
        <w:t>ի բացակությունը</w:t>
      </w:r>
      <w:r w:rsidR="0043566D" w:rsidRPr="0043566D">
        <w:rPr>
          <w:rFonts w:ascii="GHEA Grapalat" w:eastAsia="Tahoma" w:hAnsi="GHEA Grapalat" w:cs="Tahoma"/>
          <w:color w:val="000000"/>
          <w:lang w:val="hy-AM"/>
        </w:rPr>
        <w:t xml:space="preserve"> աշխատանքի (ծառայության) ներկայանալիս։</w:t>
      </w:r>
      <w:r w:rsidR="003502A8" w:rsidRPr="00A244DE">
        <w:rPr>
          <w:rFonts w:ascii="GHEA Grapalat" w:eastAsia="Tahoma" w:hAnsi="GHEA Grapalat" w:cs="Tahoma"/>
          <w:color w:val="000000"/>
          <w:lang w:val="hy-AM"/>
        </w:rPr>
        <w:t xml:space="preserve"> Ընդ </w:t>
      </w:r>
      <w:r w:rsidR="003502A8" w:rsidRPr="00A244DE">
        <w:rPr>
          <w:rFonts w:ascii="GHEA Grapalat" w:eastAsia="Tahoma" w:hAnsi="GHEA Grapalat" w:cs="Tahoma"/>
          <w:color w:val="000000"/>
          <w:lang w:val="hy-AM"/>
        </w:rPr>
        <w:lastRenderedPageBreak/>
        <w:t>որում, նշվածից և Առողջապահության նախարարի կողմից սահմանված սանիտարահամաճարակային անվտանգության կանոններից բխում է, որ աշխատողն ինքը կարող է ընտրել կանխարգելման այն միջոցը, որը անհրաժեշտ կլինի իր աշխատանքի ներկայանալու համար՝ դա կլինի հետազոտության արդյունքը հավաստող փաստաթուղթը կամ իր ցանկության դեպքում՝ պատվաստման սերտիֆիկատը, իսկ հակացուցումների դեպքում՝ բժշկական տեղեկանքը:</w:t>
      </w:r>
      <w:r w:rsidR="0065243E" w:rsidRPr="003E4015">
        <w:rPr>
          <w:rFonts w:ascii="GHEA Grapalat" w:eastAsia="GHEA Grapalat" w:hAnsi="GHEA Grapalat" w:cs="GHEA Grapalat"/>
          <w:lang w:val="hy-AM" w:eastAsia="en-US"/>
        </w:rPr>
        <w:t xml:space="preserve"> </w:t>
      </w:r>
    </w:p>
    <w:p w:rsidR="00A14D17" w:rsidRDefault="00175A7F" w:rsidP="00A93686">
      <w:pPr>
        <w:spacing w:line="360" w:lineRule="auto"/>
        <w:ind w:firstLine="708"/>
        <w:jc w:val="both"/>
        <w:rPr>
          <w:rFonts w:ascii="GHEA Grapalat" w:eastAsia="Tahoma" w:hAnsi="GHEA Grapalat" w:cs="Tahoma"/>
          <w:color w:val="000000"/>
          <w:lang w:val="hy-AM"/>
        </w:rPr>
      </w:pPr>
      <w:r>
        <w:rPr>
          <w:rFonts w:ascii="GHEA Grapalat" w:eastAsia="GHEA Grapalat" w:hAnsi="GHEA Grapalat" w:cs="GHEA Grapalat"/>
          <w:lang w:val="hy-AM" w:eastAsia="en-US"/>
        </w:rPr>
        <w:t xml:space="preserve">Միաժամանակ, </w:t>
      </w:r>
      <w:r w:rsidR="007E2495">
        <w:rPr>
          <w:rFonts w:ascii="GHEA Grapalat" w:eastAsia="GHEA Grapalat" w:hAnsi="GHEA Grapalat" w:cs="GHEA Grapalat"/>
          <w:lang w:val="hy-AM" w:eastAsia="en-US"/>
        </w:rPr>
        <w:t xml:space="preserve">Աշխատանքային օրենսգրքում նախատեսվող փոփոխությունների արդյունքում </w:t>
      </w:r>
      <w:r w:rsidR="00A93686">
        <w:rPr>
          <w:rFonts w:ascii="GHEA Grapalat" w:eastAsia="GHEA Grapalat" w:hAnsi="GHEA Grapalat" w:cs="GHEA Grapalat"/>
          <w:lang w:val="hy-AM" w:eastAsia="en-US"/>
        </w:rPr>
        <w:t>Աշխատանքային օրենսգրքի 165-րդ հոդվածի</w:t>
      </w:r>
      <w:r>
        <w:rPr>
          <w:rFonts w:ascii="GHEA Grapalat" w:eastAsia="GHEA Grapalat" w:hAnsi="GHEA Grapalat" w:cs="GHEA Grapalat"/>
          <w:lang w:val="hy-AM" w:eastAsia="en-US"/>
        </w:rPr>
        <w:t xml:space="preserve"> կարգավորումներ</w:t>
      </w:r>
      <w:r w:rsidR="00184EE0">
        <w:rPr>
          <w:rFonts w:ascii="GHEA Grapalat" w:eastAsia="GHEA Grapalat" w:hAnsi="GHEA Grapalat" w:cs="GHEA Grapalat"/>
          <w:lang w:val="hy-AM" w:eastAsia="en-US"/>
        </w:rPr>
        <w:t xml:space="preserve">ը հաշվի առնելով, </w:t>
      </w:r>
      <w:r w:rsidR="00184EE0" w:rsidRPr="0043566D">
        <w:rPr>
          <w:rFonts w:ascii="GHEA Grapalat" w:eastAsia="Tahoma" w:hAnsi="GHEA Grapalat" w:cs="Tahoma"/>
          <w:color w:val="000000"/>
          <w:lang w:val="hy-AM"/>
        </w:rPr>
        <w:t xml:space="preserve">սանիտարահամաճարակային անվտանգության կանոններով սահմանված` աշխատանքի ներկայանալու </w:t>
      </w:r>
      <w:r w:rsidR="00184EE0">
        <w:rPr>
          <w:rFonts w:ascii="GHEA Grapalat" w:eastAsia="Tahoma" w:hAnsi="GHEA Grapalat" w:cs="Tahoma"/>
          <w:color w:val="000000"/>
          <w:lang w:val="hy-AM"/>
        </w:rPr>
        <w:t xml:space="preserve">համար </w:t>
      </w:r>
      <w:r w:rsidR="00184EE0" w:rsidRPr="0043566D">
        <w:rPr>
          <w:rFonts w:ascii="GHEA Grapalat" w:eastAsia="Tahoma" w:hAnsi="GHEA Grapalat" w:cs="Tahoma"/>
          <w:color w:val="000000"/>
          <w:lang w:val="hy-AM"/>
        </w:rPr>
        <w:t>անհրաժեշտ պայման հանդիսացող փաստաթղթեր</w:t>
      </w:r>
      <w:r w:rsidR="00A14D17">
        <w:rPr>
          <w:rFonts w:ascii="GHEA Grapalat" w:eastAsia="Tahoma" w:hAnsi="GHEA Grapalat" w:cs="Tahoma"/>
          <w:color w:val="000000"/>
          <w:lang w:val="hy-AM"/>
        </w:rPr>
        <w:t>ը</w:t>
      </w:r>
      <w:r w:rsidR="00184EE0" w:rsidRPr="00E77588">
        <w:rPr>
          <w:rFonts w:ascii="GHEA Grapalat" w:eastAsia="Tahoma" w:hAnsi="GHEA Grapalat" w:cs="Tahoma"/>
          <w:color w:val="000000"/>
          <w:lang w:val="hy-AM"/>
        </w:rPr>
        <w:t xml:space="preserve"> </w:t>
      </w:r>
      <w:r w:rsidR="00184EE0">
        <w:rPr>
          <w:rFonts w:ascii="GHEA Grapalat" w:eastAsia="Tahoma" w:hAnsi="GHEA Grapalat" w:cs="Tahoma"/>
          <w:color w:val="000000"/>
          <w:lang w:val="hy-AM"/>
        </w:rPr>
        <w:t>չներկայացնելու</w:t>
      </w:r>
      <w:r w:rsidR="00A14D17">
        <w:rPr>
          <w:rFonts w:ascii="GHEA Grapalat" w:eastAsia="Tahoma" w:hAnsi="GHEA Grapalat" w:cs="Tahoma"/>
          <w:color w:val="000000"/>
          <w:lang w:val="hy-AM"/>
        </w:rPr>
        <w:t xml:space="preserve"> պատճառով աշխատանքային պարտականությունները չկատարելու ժամանակահատվածը չի ներառվում ամենամյա արձակուրդի իրավունք տվող աշխատանքային ստաժում, ինչպես նաև առհասարակ աշխատանքային ստաժում։</w:t>
      </w:r>
      <w:r w:rsidR="00184EE0">
        <w:rPr>
          <w:rFonts w:ascii="GHEA Grapalat" w:eastAsia="Tahoma" w:hAnsi="GHEA Grapalat" w:cs="Tahoma"/>
          <w:color w:val="000000"/>
          <w:lang w:val="hy-AM"/>
        </w:rPr>
        <w:t xml:space="preserve"> </w:t>
      </w:r>
      <w:r w:rsidR="00184EE0" w:rsidRPr="0043566D">
        <w:rPr>
          <w:rFonts w:ascii="GHEA Grapalat" w:eastAsia="Tahoma" w:hAnsi="GHEA Grapalat" w:cs="Tahoma"/>
          <w:color w:val="000000"/>
          <w:lang w:val="hy-AM"/>
        </w:rPr>
        <w:t xml:space="preserve"> </w:t>
      </w:r>
    </w:p>
    <w:p w:rsidR="00A93686" w:rsidRPr="003E4015" w:rsidRDefault="00A93686" w:rsidP="00A93686">
      <w:pPr>
        <w:spacing w:line="360" w:lineRule="auto"/>
        <w:ind w:firstLine="708"/>
        <w:jc w:val="both"/>
        <w:rPr>
          <w:rFonts w:ascii="GHEA Grapalat" w:eastAsia="GHEA Grapalat" w:hAnsi="GHEA Grapalat" w:cs="GHEA Grapalat"/>
          <w:lang w:val="hy-AM" w:eastAsia="en-US"/>
        </w:rPr>
      </w:pPr>
      <w:r w:rsidRPr="00E77588">
        <w:rPr>
          <w:rFonts w:ascii="GHEA Grapalat" w:eastAsia="GHEA Grapalat" w:hAnsi="GHEA Grapalat" w:cs="GHEA Grapalat"/>
          <w:lang w:val="hy-AM" w:eastAsia="en-US"/>
        </w:rPr>
        <w:t>Այսպես, որպես աշխատանքի (ծառայության) չթույլատրման հիմք սահմանվում է</w:t>
      </w:r>
      <w:r w:rsidRPr="003E4015">
        <w:rPr>
          <w:rFonts w:ascii="GHEA Grapalat" w:eastAsia="GHEA Grapalat" w:hAnsi="GHEA Grapalat" w:cs="GHEA Grapalat"/>
          <w:lang w:val="hy-AM" w:eastAsia="en-US"/>
        </w:rPr>
        <w:t xml:space="preserve"> </w:t>
      </w:r>
      <w:r w:rsidRPr="0043566D">
        <w:rPr>
          <w:rFonts w:ascii="GHEA Grapalat" w:eastAsia="Tahoma" w:hAnsi="GHEA Grapalat" w:cs="Tahoma"/>
          <w:color w:val="000000"/>
          <w:lang w:val="hy-AM"/>
        </w:rPr>
        <w:t>սանիտարահամաճարակային անվտանգության կանոններով սահմանված` աշխատանքի (ծառայության) ներկայանալու անհրաժեշտ պայման հանդիսացող փաստաթղթեր</w:t>
      </w:r>
      <w:r w:rsidRPr="00E77588">
        <w:rPr>
          <w:rFonts w:ascii="GHEA Grapalat" w:eastAsia="Tahoma" w:hAnsi="GHEA Grapalat" w:cs="Tahoma"/>
          <w:color w:val="000000"/>
          <w:lang w:val="hy-AM"/>
        </w:rPr>
        <w:t>ի բացակությունը</w:t>
      </w:r>
      <w:r w:rsidRPr="0043566D">
        <w:rPr>
          <w:rFonts w:ascii="GHEA Grapalat" w:eastAsia="Tahoma" w:hAnsi="GHEA Grapalat" w:cs="Tahoma"/>
          <w:color w:val="000000"/>
          <w:lang w:val="hy-AM"/>
        </w:rPr>
        <w:t xml:space="preserve"> աշխատանքի (ծառայության) ներկայանալիս։</w:t>
      </w:r>
    </w:p>
    <w:p w:rsidR="0065243E" w:rsidRPr="003E4015" w:rsidRDefault="0065243E" w:rsidP="0065243E">
      <w:pPr>
        <w:spacing w:line="360" w:lineRule="auto"/>
        <w:ind w:firstLine="708"/>
        <w:jc w:val="both"/>
        <w:rPr>
          <w:rFonts w:ascii="GHEA Grapalat" w:eastAsia="GHEA Grapalat" w:hAnsi="GHEA Grapalat" w:cs="GHEA Grapalat"/>
          <w:lang w:val="hy-AM" w:eastAsia="en-US"/>
        </w:rPr>
      </w:pPr>
      <w:r w:rsidRPr="003E4015">
        <w:rPr>
          <w:rFonts w:ascii="GHEA Grapalat" w:eastAsia="GHEA Grapalat" w:hAnsi="GHEA Grapalat" w:cs="GHEA Grapalat"/>
          <w:lang w:val="hy-AM" w:eastAsia="en-US"/>
        </w:rPr>
        <w:t>Հատկանշական է, որ առաջարկվող կարգավորում</w:t>
      </w:r>
      <w:r w:rsidR="00E77588" w:rsidRPr="00E77588">
        <w:rPr>
          <w:rFonts w:ascii="GHEA Grapalat" w:eastAsia="GHEA Grapalat" w:hAnsi="GHEA Grapalat" w:cs="GHEA Grapalat"/>
          <w:lang w:val="hy-AM" w:eastAsia="en-US"/>
        </w:rPr>
        <w:t>ներ</w:t>
      </w:r>
      <w:r w:rsidRPr="003E4015">
        <w:rPr>
          <w:rFonts w:ascii="GHEA Grapalat" w:eastAsia="GHEA Grapalat" w:hAnsi="GHEA Grapalat" w:cs="GHEA Grapalat"/>
          <w:lang w:val="hy-AM" w:eastAsia="en-US"/>
        </w:rPr>
        <w:t xml:space="preserve">ով </w:t>
      </w:r>
      <w:r w:rsidR="00E77588" w:rsidRPr="00E77588">
        <w:rPr>
          <w:rFonts w:ascii="GHEA Grapalat" w:eastAsia="GHEA Grapalat" w:hAnsi="GHEA Grapalat" w:cs="GHEA Grapalat"/>
          <w:lang w:val="hy-AM" w:eastAsia="en-US"/>
        </w:rPr>
        <w:t xml:space="preserve">աշխատողներին և </w:t>
      </w:r>
      <w:r w:rsidRPr="003E4015">
        <w:rPr>
          <w:rFonts w:ascii="GHEA Grapalat" w:eastAsia="GHEA Grapalat" w:hAnsi="GHEA Grapalat" w:cs="GHEA Grapalat"/>
          <w:lang w:val="hy-AM" w:eastAsia="en-US"/>
        </w:rPr>
        <w:t xml:space="preserve">հանրային իշխանության մարմիններում ծառայողներին հնարավորություն է տրվում ողջամիտ ժամկետում փոխել իրենց վարքագիծը՝ </w:t>
      </w:r>
      <w:r w:rsidR="00E77588" w:rsidRPr="00E77588">
        <w:rPr>
          <w:rFonts w:ascii="GHEA Grapalat" w:eastAsia="GHEA Grapalat" w:hAnsi="GHEA Grapalat" w:cs="GHEA Grapalat"/>
          <w:lang w:val="hy-AM" w:eastAsia="en-US"/>
        </w:rPr>
        <w:t>նախագծերով</w:t>
      </w:r>
      <w:r w:rsidRPr="003E4015">
        <w:rPr>
          <w:rFonts w:ascii="GHEA Grapalat" w:eastAsia="GHEA Grapalat" w:hAnsi="GHEA Grapalat" w:cs="GHEA Grapalat"/>
          <w:lang w:val="hy-AM" w:eastAsia="en-US"/>
        </w:rPr>
        <w:t xml:space="preserve"> նախատեսված անբարենպաստ հետևանքներից խուսափելու համար:</w:t>
      </w:r>
    </w:p>
    <w:p w:rsidR="0065243E" w:rsidRPr="00A244DE" w:rsidRDefault="0065243E" w:rsidP="0065243E">
      <w:pPr>
        <w:spacing w:line="360" w:lineRule="auto"/>
        <w:ind w:firstLine="708"/>
        <w:jc w:val="both"/>
        <w:rPr>
          <w:rFonts w:ascii="GHEA Grapalat" w:eastAsia="GHEA Grapalat" w:hAnsi="GHEA Grapalat" w:cs="GHEA Grapalat"/>
          <w:lang w:val="hy-AM" w:eastAsia="en-US"/>
        </w:rPr>
      </w:pPr>
      <w:r w:rsidRPr="003E4015">
        <w:rPr>
          <w:rFonts w:ascii="GHEA Grapalat" w:eastAsia="GHEA Grapalat" w:hAnsi="GHEA Grapalat" w:cs="GHEA Grapalat"/>
          <w:lang w:val="hy-AM" w:eastAsia="en-US"/>
        </w:rPr>
        <w:t>Վերը նշված պայմանը սահմանված ժամկետներում չկատարելու դեպքում միայն, սահմանվում է</w:t>
      </w:r>
      <w:r w:rsidR="00E77588" w:rsidRPr="00E77588">
        <w:rPr>
          <w:rFonts w:ascii="GHEA Grapalat" w:eastAsia="GHEA Grapalat" w:hAnsi="GHEA Grapalat" w:cs="GHEA Grapalat"/>
          <w:lang w:val="hy-AM" w:eastAsia="en-US"/>
        </w:rPr>
        <w:t xml:space="preserve"> աշխատանքային պայմանագրի միակողմանի լուծման հիմք, իսկ </w:t>
      </w:r>
      <w:r w:rsidRPr="003E4015">
        <w:rPr>
          <w:rFonts w:ascii="GHEA Grapalat" w:eastAsia="GHEA Grapalat" w:hAnsi="GHEA Grapalat" w:cs="GHEA Grapalat"/>
          <w:lang w:val="hy-AM" w:eastAsia="en-US"/>
        </w:rPr>
        <w:t>հանրային պաշտոն զբաղեցնող անձի և հանրային ծառայողի լիազորություններ</w:t>
      </w:r>
      <w:r w:rsidR="00E77588" w:rsidRPr="00E77588">
        <w:rPr>
          <w:rFonts w:ascii="GHEA Grapalat" w:eastAsia="GHEA Grapalat" w:hAnsi="GHEA Grapalat" w:cs="GHEA Grapalat"/>
          <w:lang w:val="hy-AM" w:eastAsia="en-US"/>
        </w:rPr>
        <w:t>ը պետք է</w:t>
      </w:r>
      <w:r w:rsidRPr="003E4015">
        <w:rPr>
          <w:rFonts w:ascii="GHEA Grapalat" w:eastAsia="GHEA Grapalat" w:hAnsi="GHEA Grapalat" w:cs="GHEA Grapalat"/>
          <w:lang w:val="hy-AM" w:eastAsia="en-US"/>
        </w:rPr>
        <w:t xml:space="preserve"> դադարեց</w:t>
      </w:r>
      <w:r w:rsidR="00E77588" w:rsidRPr="00E77588">
        <w:rPr>
          <w:rFonts w:ascii="GHEA Grapalat" w:eastAsia="GHEA Grapalat" w:hAnsi="GHEA Grapalat" w:cs="GHEA Grapalat"/>
          <w:lang w:val="hy-AM" w:eastAsia="en-US"/>
        </w:rPr>
        <w:t>վեն</w:t>
      </w:r>
      <w:r w:rsidRPr="003E4015">
        <w:rPr>
          <w:rFonts w:ascii="GHEA Grapalat" w:eastAsia="GHEA Grapalat" w:hAnsi="GHEA Grapalat" w:cs="GHEA Grapalat"/>
          <w:lang w:val="hy-AM" w:eastAsia="en-US"/>
        </w:rPr>
        <w:t xml:space="preserve"> կամ նրան</w:t>
      </w:r>
      <w:r w:rsidR="00E77588" w:rsidRPr="00E77588">
        <w:rPr>
          <w:rFonts w:ascii="GHEA Grapalat" w:eastAsia="GHEA Grapalat" w:hAnsi="GHEA Grapalat" w:cs="GHEA Grapalat"/>
          <w:lang w:val="hy-AM" w:eastAsia="en-US"/>
        </w:rPr>
        <w:t>ք</w:t>
      </w:r>
      <w:r w:rsidRPr="003E4015">
        <w:rPr>
          <w:rFonts w:ascii="GHEA Grapalat" w:eastAsia="GHEA Grapalat" w:hAnsi="GHEA Grapalat" w:cs="GHEA Grapalat"/>
          <w:lang w:val="hy-AM" w:eastAsia="en-US"/>
        </w:rPr>
        <w:t xml:space="preserve"> զբաղեցրած պաշտոնից </w:t>
      </w:r>
      <w:r w:rsidR="0023124C">
        <w:rPr>
          <w:rFonts w:ascii="GHEA Grapalat" w:eastAsia="GHEA Grapalat" w:hAnsi="GHEA Grapalat" w:cs="GHEA Grapalat"/>
          <w:lang w:val="hy-AM" w:eastAsia="en-US"/>
        </w:rPr>
        <w:t>ազատ</w:t>
      </w:r>
      <w:r w:rsidR="00E77588" w:rsidRPr="00E77588">
        <w:rPr>
          <w:rFonts w:ascii="GHEA Grapalat" w:eastAsia="GHEA Grapalat" w:hAnsi="GHEA Grapalat" w:cs="GHEA Grapalat"/>
          <w:lang w:val="hy-AM" w:eastAsia="en-US"/>
        </w:rPr>
        <w:t>վեն.</w:t>
      </w:r>
      <w:r w:rsidR="003502A8" w:rsidRPr="00A244DE">
        <w:rPr>
          <w:rFonts w:ascii="GHEA Grapalat" w:eastAsia="GHEA Grapalat" w:hAnsi="GHEA Grapalat" w:cs="GHEA Grapalat"/>
          <w:lang w:val="hy-AM" w:eastAsia="en-US"/>
        </w:rPr>
        <w:t xml:space="preserve"> </w:t>
      </w:r>
      <w:r w:rsidR="00E77588" w:rsidRPr="00E77588">
        <w:rPr>
          <w:rFonts w:ascii="GHEA Grapalat" w:eastAsia="GHEA Grapalat" w:hAnsi="GHEA Grapalat" w:cs="GHEA Grapalat"/>
          <w:lang w:val="hy-AM" w:eastAsia="en-US"/>
        </w:rPr>
        <w:t>մ</w:t>
      </w:r>
      <w:r w:rsidR="003502A8" w:rsidRPr="00A244DE">
        <w:rPr>
          <w:rFonts w:ascii="GHEA Grapalat" w:eastAsia="GHEA Grapalat" w:hAnsi="GHEA Grapalat" w:cs="GHEA Grapalat"/>
          <w:lang w:val="hy-AM" w:eastAsia="en-US"/>
        </w:rPr>
        <w:t xml:space="preserve">ասնավորապես, </w:t>
      </w:r>
      <w:r w:rsidR="003502A8" w:rsidRPr="00A244DE">
        <w:rPr>
          <w:rFonts w:ascii="GHEA Grapalat" w:eastAsia="GHEA Grapalat" w:hAnsi="GHEA Grapalat" w:cs="GHEA Grapalat"/>
          <w:b/>
          <w:lang w:val="hy-AM" w:eastAsia="en-US"/>
        </w:rPr>
        <w:t>եթե անձը վերոնշյալ հիմքով,</w:t>
      </w:r>
      <w:r w:rsidR="003502A8" w:rsidRPr="00A244DE">
        <w:rPr>
          <w:rFonts w:ascii="GHEA Grapalat" w:eastAsia="GHEA Grapalat" w:hAnsi="GHEA Grapalat" w:cs="GHEA Grapalat"/>
          <w:lang w:val="hy-AM" w:eastAsia="en-US"/>
        </w:rPr>
        <w:t xml:space="preserve"> այսինքն՝ իր աշխատանքային (ծառայողական) պարտականությունների կատարումը չթույլատրվելու հետևանքով ավելի քան 30 օր անընդմեջ կամ վերջին տասներկու ամսվա ընթացքում` ավելի քան 50 օր չի կատարել իր աշխատանքային (ծառայողական) պարտականությունները: Ընդ որում, այս </w:t>
      </w:r>
      <w:r w:rsidR="003502A8" w:rsidRPr="00A244DE">
        <w:rPr>
          <w:rFonts w:ascii="GHEA Grapalat" w:eastAsia="GHEA Grapalat" w:hAnsi="GHEA Grapalat" w:cs="GHEA Grapalat"/>
          <w:lang w:val="hy-AM" w:eastAsia="en-US"/>
        </w:rPr>
        <w:lastRenderedPageBreak/>
        <w:t>ժամկետների մեջ տրամաբանորեն չպետք է հաշվարկվեն այն ժամկետները, երբ անձը</w:t>
      </w:r>
      <w:r w:rsidR="00CB7498" w:rsidRPr="00A244DE">
        <w:rPr>
          <w:rFonts w:ascii="GHEA Grapalat" w:eastAsia="GHEA Grapalat" w:hAnsi="GHEA Grapalat" w:cs="GHEA Grapalat"/>
          <w:lang w:val="hy-AM" w:eastAsia="en-US"/>
        </w:rPr>
        <w:t xml:space="preserve"> այսպես, թե այնպես</w:t>
      </w:r>
      <w:r w:rsidR="003502A8" w:rsidRPr="00A244DE">
        <w:rPr>
          <w:rFonts w:ascii="GHEA Grapalat" w:eastAsia="GHEA Grapalat" w:hAnsi="GHEA Grapalat" w:cs="GHEA Grapalat"/>
          <w:lang w:val="hy-AM" w:eastAsia="en-US"/>
        </w:rPr>
        <w:t xml:space="preserve"> </w:t>
      </w:r>
      <w:r w:rsidR="00CB7498" w:rsidRPr="00A244DE">
        <w:rPr>
          <w:rFonts w:ascii="GHEA Grapalat" w:eastAsia="GHEA Grapalat" w:hAnsi="GHEA Grapalat" w:cs="GHEA Grapalat"/>
          <w:lang w:val="hy-AM" w:eastAsia="en-US"/>
        </w:rPr>
        <w:t xml:space="preserve">չպետք է ներկայանար աշխատանքի, օրինակ՝ </w:t>
      </w:r>
      <w:r w:rsidR="003502A8" w:rsidRPr="00A244DE">
        <w:rPr>
          <w:rFonts w:ascii="GHEA Grapalat" w:eastAsia="GHEA Grapalat" w:hAnsi="GHEA Grapalat" w:cs="GHEA Grapalat"/>
          <w:lang w:val="hy-AM" w:eastAsia="en-US"/>
        </w:rPr>
        <w:t>գտնվել է արձակուրդի, ժամանակավոր աշխատո</w:t>
      </w:r>
      <w:r w:rsidR="00CB7498" w:rsidRPr="00A244DE">
        <w:rPr>
          <w:rFonts w:ascii="GHEA Grapalat" w:eastAsia="GHEA Grapalat" w:hAnsi="GHEA Grapalat" w:cs="GHEA Grapalat"/>
          <w:lang w:val="hy-AM" w:eastAsia="en-US"/>
        </w:rPr>
        <w:t>ւնակության կամ գործուղման մեջ:</w:t>
      </w:r>
    </w:p>
    <w:p w:rsidR="00CB7498" w:rsidRPr="00A244DE" w:rsidRDefault="00CB7498" w:rsidP="0065243E">
      <w:pPr>
        <w:pBdr>
          <w:top w:val="nil"/>
          <w:left w:val="nil"/>
          <w:bottom w:val="nil"/>
          <w:right w:val="nil"/>
          <w:between w:val="nil"/>
        </w:pBdr>
        <w:spacing w:line="360" w:lineRule="auto"/>
        <w:ind w:firstLine="708"/>
        <w:jc w:val="both"/>
        <w:rPr>
          <w:rFonts w:ascii="GHEA Grapalat" w:eastAsia="GHEA Grapalat" w:hAnsi="GHEA Grapalat" w:cs="GHEA Grapalat"/>
          <w:lang w:val="hy-AM" w:eastAsia="en-US"/>
        </w:rPr>
      </w:pPr>
      <w:r w:rsidRPr="00A244DE">
        <w:rPr>
          <w:rFonts w:ascii="GHEA Grapalat" w:eastAsia="GHEA Grapalat" w:hAnsi="GHEA Grapalat" w:cs="GHEA Grapalat"/>
          <w:lang w:val="hy-AM" w:eastAsia="en-US"/>
        </w:rPr>
        <w:t>Միևնույն ժամանակ, մի շարք հանրային պաշտոնների դեպքում սահմանվել է այս կարգավորումների կիրառումից բացառություն այն հիմնավորմամբ, որ այդ ցանկում ներառվեն այն անձինք, որոնց պաշտոնը կամ ընտրովի պաշտոն է կամ վերջիններս նշանակվում են սահմանադրական գործընթացների արդյունքում կամ նրանք, ելնելով իրենց կարգավիճակից և զբաղեցրած պաշտոնի առանձնահատկություններից, ըստ էության, չունեն վերադաս մարմին կամ պաշտոնատար անձ, որը միաժամանակ վերջիններիս նշանակում կամ ազատում է պաշտոնից:</w:t>
      </w:r>
    </w:p>
    <w:p w:rsidR="0065243E" w:rsidRPr="000C590B" w:rsidRDefault="0065243E" w:rsidP="0065243E">
      <w:pPr>
        <w:pBdr>
          <w:top w:val="nil"/>
          <w:left w:val="nil"/>
          <w:bottom w:val="nil"/>
          <w:right w:val="nil"/>
          <w:between w:val="nil"/>
        </w:pBdr>
        <w:spacing w:line="360" w:lineRule="auto"/>
        <w:ind w:firstLine="567"/>
        <w:jc w:val="both"/>
        <w:rPr>
          <w:rFonts w:ascii="GHEA Grapalat" w:eastAsia="GHEA Grapalat" w:hAnsi="GHEA Grapalat" w:cs="GHEA Grapalat"/>
          <w:lang w:val="hy-AM" w:eastAsia="en-US"/>
        </w:rPr>
      </w:pPr>
    </w:p>
    <w:p w:rsidR="0065243E" w:rsidRPr="000C590B" w:rsidRDefault="0065243E" w:rsidP="00E078F1">
      <w:pPr>
        <w:pBdr>
          <w:top w:val="nil"/>
          <w:left w:val="nil"/>
          <w:bottom w:val="nil"/>
          <w:right w:val="nil"/>
          <w:between w:val="nil"/>
        </w:pBdr>
        <w:spacing w:line="360" w:lineRule="auto"/>
        <w:ind w:firstLine="708"/>
        <w:jc w:val="both"/>
        <w:rPr>
          <w:rFonts w:ascii="GHEA Grapalat" w:eastAsia="GHEA Grapalat" w:hAnsi="GHEA Grapalat" w:cs="GHEA Grapalat"/>
          <w:b/>
          <w:color w:val="000000"/>
          <w:lang w:val="hy-AM" w:eastAsia="en-US"/>
        </w:rPr>
      </w:pPr>
      <w:r w:rsidRPr="000C590B">
        <w:rPr>
          <w:rFonts w:ascii="GHEA Grapalat" w:eastAsia="GHEA Grapalat" w:hAnsi="GHEA Grapalat" w:cs="GHEA Grapalat"/>
          <w:b/>
          <w:color w:val="000000"/>
          <w:lang w:val="hy-AM" w:eastAsia="en-US"/>
        </w:rPr>
        <w:t>3. Նախագծի մշակման գործընթացում ներգրավված ինստիտուտները, անձինք և նրանց դիրքորոշումը</w:t>
      </w:r>
    </w:p>
    <w:p w:rsidR="0065243E" w:rsidRDefault="00DA0DEE" w:rsidP="00E078F1">
      <w:pPr>
        <w:pBdr>
          <w:top w:val="nil"/>
          <w:left w:val="nil"/>
          <w:bottom w:val="nil"/>
          <w:right w:val="nil"/>
          <w:between w:val="nil"/>
        </w:pBdr>
        <w:spacing w:line="360" w:lineRule="auto"/>
        <w:ind w:firstLine="708"/>
        <w:jc w:val="both"/>
        <w:rPr>
          <w:rFonts w:ascii="GHEA Grapalat" w:eastAsia="GHEA Grapalat" w:hAnsi="GHEA Grapalat" w:cs="GHEA Grapalat"/>
          <w:lang w:val="hy-AM" w:eastAsia="en-US"/>
        </w:rPr>
      </w:pPr>
      <w:r>
        <w:rPr>
          <w:rFonts w:ascii="GHEA Grapalat" w:eastAsia="GHEA Grapalat" w:hAnsi="GHEA Grapalat" w:cs="GHEA Grapalat"/>
          <w:lang w:val="hy-AM" w:eastAsia="en-US"/>
        </w:rPr>
        <w:t>Նախագ</w:t>
      </w:r>
      <w:r w:rsidR="0065243E" w:rsidRPr="000C590B">
        <w:rPr>
          <w:rFonts w:ascii="GHEA Grapalat" w:eastAsia="GHEA Grapalat" w:hAnsi="GHEA Grapalat" w:cs="GHEA Grapalat"/>
          <w:lang w:val="hy-AM" w:eastAsia="en-US"/>
        </w:rPr>
        <w:t>ծ</w:t>
      </w:r>
      <w:r w:rsidR="00E77588" w:rsidRPr="00E77588">
        <w:rPr>
          <w:rFonts w:ascii="GHEA Grapalat" w:eastAsia="GHEA Grapalat" w:hAnsi="GHEA Grapalat" w:cs="GHEA Grapalat"/>
          <w:lang w:val="hy-AM" w:eastAsia="en-US"/>
        </w:rPr>
        <w:t>եր</w:t>
      </w:r>
      <w:r w:rsidR="0065243E" w:rsidRPr="000C590B">
        <w:rPr>
          <w:rFonts w:ascii="GHEA Grapalat" w:eastAsia="GHEA Grapalat" w:hAnsi="GHEA Grapalat" w:cs="GHEA Grapalat"/>
          <w:lang w:val="hy-AM" w:eastAsia="en-US"/>
        </w:rPr>
        <w:t xml:space="preserve">ը մշակվել </w:t>
      </w:r>
      <w:r w:rsidR="00E77588" w:rsidRPr="00E77588">
        <w:rPr>
          <w:rFonts w:ascii="GHEA Grapalat" w:eastAsia="GHEA Grapalat" w:hAnsi="GHEA Grapalat" w:cs="GHEA Grapalat"/>
          <w:lang w:val="hy-AM" w:eastAsia="en-US"/>
        </w:rPr>
        <w:t xml:space="preserve">են </w:t>
      </w:r>
      <w:r w:rsidR="0065243E">
        <w:rPr>
          <w:rFonts w:ascii="GHEA Grapalat" w:eastAsia="GHEA Grapalat" w:hAnsi="GHEA Grapalat" w:cs="GHEA Grapalat"/>
          <w:lang w:val="hy-AM" w:eastAsia="en-US"/>
        </w:rPr>
        <w:t xml:space="preserve">Հայաստանի Հանրապետության </w:t>
      </w:r>
      <w:r w:rsidR="00724337">
        <w:rPr>
          <w:rFonts w:ascii="GHEA Grapalat" w:eastAsia="GHEA Grapalat" w:hAnsi="GHEA Grapalat" w:cs="GHEA Grapalat"/>
          <w:lang w:val="hy-AM" w:eastAsia="en-US"/>
        </w:rPr>
        <w:t>աշխատանքի և սոցիալական հարցերի</w:t>
      </w:r>
      <w:r w:rsidR="00BF0DA9">
        <w:rPr>
          <w:rFonts w:ascii="GHEA Grapalat" w:eastAsia="GHEA Grapalat" w:hAnsi="GHEA Grapalat" w:cs="GHEA Grapalat"/>
          <w:lang w:val="hy-AM" w:eastAsia="en-US"/>
        </w:rPr>
        <w:t xml:space="preserve"> </w:t>
      </w:r>
      <w:r w:rsidR="0065243E" w:rsidRPr="000C590B">
        <w:rPr>
          <w:rFonts w:ascii="GHEA Grapalat" w:eastAsia="GHEA Grapalat" w:hAnsi="GHEA Grapalat" w:cs="GHEA Grapalat"/>
          <w:lang w:val="hy-AM" w:eastAsia="en-US"/>
        </w:rPr>
        <w:t xml:space="preserve"> </w:t>
      </w:r>
      <w:r w:rsidR="005E308C">
        <w:rPr>
          <w:rFonts w:ascii="GHEA Grapalat" w:eastAsia="GHEA Grapalat" w:hAnsi="GHEA Grapalat" w:cs="GHEA Grapalat"/>
          <w:lang w:val="hy-AM" w:eastAsia="en-US"/>
        </w:rPr>
        <w:t xml:space="preserve">և Հայաստանի Հանրապետության արդարադատության նախարարությունների </w:t>
      </w:r>
      <w:r w:rsidR="0065243E" w:rsidRPr="000C590B">
        <w:rPr>
          <w:rFonts w:ascii="GHEA Grapalat" w:eastAsia="GHEA Grapalat" w:hAnsi="GHEA Grapalat" w:cs="GHEA Grapalat"/>
          <w:lang w:val="hy-AM" w:eastAsia="en-US"/>
        </w:rPr>
        <w:t>կողմից</w:t>
      </w:r>
      <w:r w:rsidR="005E308C">
        <w:rPr>
          <w:rFonts w:ascii="GHEA Grapalat" w:eastAsia="GHEA Grapalat" w:hAnsi="GHEA Grapalat" w:cs="GHEA Grapalat"/>
          <w:lang w:val="hy-AM" w:eastAsia="en-US"/>
        </w:rPr>
        <w:t xml:space="preserve"> համատեղ</w:t>
      </w:r>
      <w:r w:rsidR="0065243E" w:rsidRPr="000C590B">
        <w:rPr>
          <w:rFonts w:ascii="GHEA Grapalat" w:eastAsia="GHEA Grapalat" w:hAnsi="GHEA Grapalat" w:cs="GHEA Grapalat"/>
          <w:lang w:val="hy-AM" w:eastAsia="en-US"/>
        </w:rPr>
        <w:t>:</w:t>
      </w:r>
    </w:p>
    <w:p w:rsidR="00B03F5C" w:rsidRPr="00D04A3B" w:rsidRDefault="00B03F5C" w:rsidP="00DA0DEE">
      <w:pPr>
        <w:pBdr>
          <w:top w:val="nil"/>
          <w:left w:val="nil"/>
          <w:bottom w:val="nil"/>
          <w:right w:val="nil"/>
          <w:between w:val="nil"/>
        </w:pBdr>
        <w:spacing w:line="360" w:lineRule="auto"/>
        <w:ind w:firstLine="567"/>
        <w:jc w:val="both"/>
        <w:rPr>
          <w:rFonts w:ascii="GHEA Grapalat" w:eastAsia="GHEA Grapalat" w:hAnsi="GHEA Grapalat" w:cs="GHEA Grapalat"/>
          <w:lang w:val="hy-AM" w:eastAsia="en-US"/>
        </w:rPr>
      </w:pPr>
    </w:p>
    <w:p w:rsidR="0065243E" w:rsidRPr="000C590B" w:rsidRDefault="0065243E" w:rsidP="0065243E">
      <w:pPr>
        <w:pBdr>
          <w:top w:val="nil"/>
          <w:left w:val="nil"/>
          <w:bottom w:val="nil"/>
          <w:right w:val="nil"/>
          <w:between w:val="nil"/>
        </w:pBdr>
        <w:spacing w:line="360" w:lineRule="auto"/>
        <w:ind w:firstLine="708"/>
        <w:jc w:val="both"/>
        <w:rPr>
          <w:rFonts w:ascii="GHEA Grapalat" w:eastAsia="GHEA Grapalat" w:hAnsi="GHEA Grapalat" w:cs="GHEA Grapalat"/>
          <w:b/>
          <w:color w:val="000000"/>
          <w:lang w:val="hy-AM" w:eastAsia="en-US"/>
        </w:rPr>
      </w:pPr>
      <w:r w:rsidRPr="000C590B">
        <w:rPr>
          <w:rFonts w:ascii="GHEA Grapalat" w:eastAsia="GHEA Grapalat" w:hAnsi="GHEA Grapalat" w:cs="GHEA Grapalat"/>
          <w:b/>
          <w:color w:val="000000"/>
          <w:lang w:val="hy-AM" w:eastAsia="en-US"/>
        </w:rPr>
        <w:t>4. Ակնկալվող արդյունքը</w:t>
      </w:r>
    </w:p>
    <w:p w:rsidR="0065243E" w:rsidRPr="002A6508" w:rsidRDefault="0065243E" w:rsidP="0065243E">
      <w:pPr>
        <w:pBdr>
          <w:top w:val="nil"/>
          <w:left w:val="nil"/>
          <w:bottom w:val="nil"/>
          <w:right w:val="nil"/>
          <w:between w:val="nil"/>
        </w:pBdr>
        <w:spacing w:line="360" w:lineRule="auto"/>
        <w:ind w:firstLine="708"/>
        <w:jc w:val="both"/>
        <w:rPr>
          <w:rFonts w:ascii="GHEA Grapalat" w:eastAsia="GHEA Grapalat" w:hAnsi="GHEA Grapalat" w:cs="GHEA Grapalat"/>
          <w:lang w:val="hy-AM" w:eastAsia="en-US"/>
        </w:rPr>
      </w:pPr>
      <w:r w:rsidRPr="002A6508">
        <w:rPr>
          <w:rFonts w:ascii="GHEA Grapalat" w:eastAsia="GHEA Grapalat" w:hAnsi="GHEA Grapalat" w:cs="GHEA Grapalat"/>
          <w:lang w:val="hy-AM" w:eastAsia="en-US"/>
        </w:rPr>
        <w:t>Նախագծ</w:t>
      </w:r>
      <w:r w:rsidR="00E77588" w:rsidRPr="00E77588">
        <w:rPr>
          <w:rFonts w:ascii="GHEA Grapalat" w:eastAsia="GHEA Grapalat" w:hAnsi="GHEA Grapalat" w:cs="GHEA Grapalat"/>
          <w:lang w:val="hy-AM" w:eastAsia="en-US"/>
        </w:rPr>
        <w:t>եր</w:t>
      </w:r>
      <w:r w:rsidRPr="002A6508">
        <w:rPr>
          <w:rFonts w:ascii="GHEA Grapalat" w:eastAsia="GHEA Grapalat" w:hAnsi="GHEA Grapalat" w:cs="GHEA Grapalat"/>
          <w:lang w:val="hy-AM" w:eastAsia="en-US"/>
        </w:rPr>
        <w:t xml:space="preserve">ի ընդունմամբ ակնկալվում է ապահովել </w:t>
      </w:r>
      <w:r w:rsidR="00E77588" w:rsidRPr="00E77588">
        <w:rPr>
          <w:rFonts w:ascii="GHEA Grapalat" w:eastAsia="GHEA Grapalat" w:hAnsi="GHEA Grapalat" w:cs="GHEA Grapalat"/>
          <w:lang w:val="hy-AM" w:eastAsia="en-US"/>
        </w:rPr>
        <w:t xml:space="preserve">աշխատանքային հարաբերությունների պատշաճ կենսագործունեությունն ու իրականացումը, դրանց սուբյեկտների գործառույթների իրականացումը, գործատուների տնտեսական գործունեության անխափան իրականացումը, պետությունում տնտեսական կայունությանը, ինչպես նաև </w:t>
      </w:r>
      <w:r w:rsidRPr="002A6508">
        <w:rPr>
          <w:rFonts w:ascii="GHEA Grapalat" w:eastAsia="GHEA Grapalat" w:hAnsi="GHEA Grapalat" w:cs="GHEA Grapalat"/>
          <w:lang w:val="hy-AM" w:eastAsia="en-US"/>
        </w:rPr>
        <w:t>հանրային իշխանության մարմիններ</w:t>
      </w:r>
      <w:r w:rsidR="00E1493A" w:rsidRPr="00A244DE">
        <w:rPr>
          <w:rFonts w:ascii="GHEA Grapalat" w:eastAsia="GHEA Grapalat" w:hAnsi="GHEA Grapalat" w:cs="GHEA Grapalat"/>
          <w:lang w:val="hy-AM" w:eastAsia="en-US"/>
        </w:rPr>
        <w:t xml:space="preserve">ի կողմից իրականացվող գործառույթների պատշաճ իրականացումը, ինչը բխում է հանրային շահերից և պետության պոզիտիվ պարտականություններից: Միաժամանակ, նպատակ է հետապնդվում </w:t>
      </w:r>
      <w:r w:rsidRPr="002A6508">
        <w:rPr>
          <w:rFonts w:ascii="GHEA Grapalat" w:eastAsia="GHEA Grapalat" w:hAnsi="GHEA Grapalat" w:cs="GHEA Grapalat"/>
          <w:lang w:val="hy-AM" w:eastAsia="en-US"/>
        </w:rPr>
        <w:t>հնարավորություն ընձեռել կանխարգելել</w:t>
      </w:r>
      <w:r w:rsidR="00E1493A" w:rsidRPr="00A244DE">
        <w:rPr>
          <w:rFonts w:ascii="GHEA Grapalat" w:eastAsia="GHEA Grapalat" w:hAnsi="GHEA Grapalat" w:cs="GHEA Grapalat"/>
          <w:lang w:val="hy-AM" w:eastAsia="en-US"/>
        </w:rPr>
        <w:t>ու</w:t>
      </w:r>
      <w:r w:rsidRPr="002A6508">
        <w:rPr>
          <w:rFonts w:ascii="GHEA Grapalat" w:eastAsia="GHEA Grapalat" w:hAnsi="GHEA Grapalat" w:cs="GHEA Grapalat"/>
          <w:lang w:val="hy-AM" w:eastAsia="en-US"/>
        </w:rPr>
        <w:t xml:space="preserve"> կորոնավիրուսային հիվանդության տարածումը Հայաստանի Հանրապետությունում, ձևավորել կոլեկտիվ իմունիտետ այդ հիվանդության նկատմամբ, ապահովել հանրային առողջության բավարար մակարդակը՝ նպաստելով անձանց առողջության պահպանմանը:</w:t>
      </w:r>
    </w:p>
    <w:p w:rsidR="0065243E" w:rsidRPr="000C590B" w:rsidRDefault="0065243E" w:rsidP="0065243E">
      <w:pPr>
        <w:pBdr>
          <w:top w:val="nil"/>
          <w:left w:val="nil"/>
          <w:bottom w:val="nil"/>
          <w:right w:val="nil"/>
          <w:between w:val="nil"/>
        </w:pBdr>
        <w:spacing w:line="360" w:lineRule="auto"/>
        <w:jc w:val="both"/>
        <w:rPr>
          <w:rFonts w:ascii="GHEA Grapalat" w:eastAsia="GHEA Grapalat" w:hAnsi="GHEA Grapalat" w:cs="GHEA Grapalat"/>
          <w:lang w:val="hy-AM" w:eastAsia="en-US"/>
        </w:rPr>
      </w:pPr>
    </w:p>
    <w:p w:rsidR="0065243E" w:rsidRPr="000C590B" w:rsidRDefault="0065243E" w:rsidP="008E1360">
      <w:pPr>
        <w:pBdr>
          <w:top w:val="nil"/>
          <w:left w:val="nil"/>
          <w:bottom w:val="nil"/>
          <w:right w:val="nil"/>
          <w:between w:val="nil"/>
        </w:pBdr>
        <w:spacing w:line="360" w:lineRule="auto"/>
        <w:ind w:firstLine="708"/>
        <w:jc w:val="both"/>
        <w:rPr>
          <w:rFonts w:ascii="GHEA Grapalat" w:eastAsia="GHEA Grapalat" w:hAnsi="GHEA Grapalat" w:cs="GHEA Grapalat"/>
          <w:b/>
          <w:color w:val="000000"/>
          <w:lang w:val="hy-AM" w:eastAsia="en-US"/>
        </w:rPr>
      </w:pPr>
      <w:r w:rsidRPr="000C590B">
        <w:rPr>
          <w:rFonts w:ascii="GHEA Grapalat" w:eastAsia="GHEA Grapalat" w:hAnsi="GHEA Grapalat" w:cs="GHEA Grapalat"/>
          <w:b/>
          <w:color w:val="000000"/>
          <w:lang w:val="hy-AM" w:eastAsia="en-US"/>
        </w:rPr>
        <w:t>5. Նախագծ</w:t>
      </w:r>
      <w:r w:rsidR="00E77588" w:rsidRPr="00E77588">
        <w:rPr>
          <w:rFonts w:ascii="GHEA Grapalat" w:eastAsia="GHEA Grapalat" w:hAnsi="GHEA Grapalat" w:cs="GHEA Grapalat"/>
          <w:b/>
          <w:color w:val="000000"/>
          <w:lang w:val="hy-AM" w:eastAsia="en-US"/>
        </w:rPr>
        <w:t>եր</w:t>
      </w:r>
      <w:r w:rsidRPr="000C590B">
        <w:rPr>
          <w:rFonts w:ascii="GHEA Grapalat" w:eastAsia="GHEA Grapalat" w:hAnsi="GHEA Grapalat" w:cs="GHEA Grapalat"/>
          <w:b/>
          <w:color w:val="000000"/>
          <w:lang w:val="hy-AM" w:eastAsia="en-US"/>
        </w:rPr>
        <w:t>ի ընդունման կապակցությամբ այլ նորմատիվ իրավական ակտերի ընդունման անհրաժեշտությունը, ինչպես նաև լրացուցիչ ֆինանսական միջոցների անհրաժեշտությունը և պետական բյուջեի եկամուտներում և ծախսերում սպասվելիք փոփոխությունները.</w:t>
      </w:r>
    </w:p>
    <w:p w:rsidR="0065243E" w:rsidRDefault="00E77588" w:rsidP="008E1360">
      <w:pPr>
        <w:pBdr>
          <w:top w:val="nil"/>
          <w:left w:val="nil"/>
          <w:bottom w:val="nil"/>
          <w:right w:val="nil"/>
          <w:between w:val="nil"/>
        </w:pBdr>
        <w:spacing w:line="360" w:lineRule="auto"/>
        <w:ind w:firstLine="708"/>
        <w:jc w:val="both"/>
        <w:rPr>
          <w:rFonts w:ascii="GHEA Grapalat" w:eastAsia="GHEA Grapalat" w:hAnsi="GHEA Grapalat" w:cs="GHEA Grapalat"/>
          <w:lang w:val="hy-AM" w:eastAsia="en-US"/>
        </w:rPr>
      </w:pPr>
      <w:r w:rsidRPr="00E77588">
        <w:rPr>
          <w:rFonts w:ascii="GHEA Grapalat" w:eastAsia="GHEA Grapalat" w:hAnsi="GHEA Grapalat" w:cs="GHEA Grapalat"/>
          <w:lang w:val="hy-AM" w:eastAsia="en-US"/>
        </w:rPr>
        <w:t>«Աշխատանքային օրենսգրքում լրացումներ կատարելու մասին» և «</w:t>
      </w:r>
      <w:r w:rsidR="0065243E" w:rsidRPr="000C590B">
        <w:rPr>
          <w:rFonts w:ascii="GHEA Grapalat" w:eastAsia="GHEA Grapalat" w:hAnsi="GHEA Grapalat" w:cs="GHEA Grapalat"/>
          <w:lang w:val="hy-AM" w:eastAsia="en-US"/>
        </w:rPr>
        <w:t>«Հանրային ծառայության մասին» օրենքում լրացումներ</w:t>
      </w:r>
      <w:r w:rsidR="006A05AE" w:rsidRPr="006A05AE">
        <w:rPr>
          <w:rFonts w:ascii="GHEA Grapalat" w:eastAsia="GHEA Grapalat" w:hAnsi="GHEA Grapalat" w:cs="GHEA Grapalat"/>
          <w:lang w:val="hy-AM" w:eastAsia="en-US"/>
        </w:rPr>
        <w:t xml:space="preserve"> </w:t>
      </w:r>
      <w:r w:rsidRPr="00E77588">
        <w:rPr>
          <w:rFonts w:ascii="GHEA Grapalat" w:eastAsia="GHEA Grapalat" w:hAnsi="GHEA Grapalat" w:cs="GHEA Grapalat"/>
          <w:lang w:val="hy-AM" w:eastAsia="en-US"/>
        </w:rPr>
        <w:t xml:space="preserve">և </w:t>
      </w:r>
      <w:r w:rsidR="006A05AE">
        <w:rPr>
          <w:rFonts w:ascii="GHEA Grapalat" w:eastAsia="GHEA Grapalat" w:hAnsi="GHEA Grapalat" w:cs="GHEA Grapalat"/>
          <w:lang w:val="hy-AM" w:eastAsia="en-US"/>
        </w:rPr>
        <w:t xml:space="preserve">փոփոխություն </w:t>
      </w:r>
      <w:r w:rsidR="0065243E" w:rsidRPr="000C590B">
        <w:rPr>
          <w:rFonts w:ascii="GHEA Grapalat" w:eastAsia="GHEA Grapalat" w:hAnsi="GHEA Grapalat" w:cs="GHEA Grapalat"/>
          <w:lang w:val="hy-AM" w:eastAsia="en-US"/>
        </w:rPr>
        <w:t>կատարելու մասին» օրենք</w:t>
      </w:r>
      <w:r w:rsidRPr="00E77588">
        <w:rPr>
          <w:rFonts w:ascii="GHEA Grapalat" w:eastAsia="GHEA Grapalat" w:hAnsi="GHEA Grapalat" w:cs="GHEA Grapalat"/>
          <w:lang w:val="hy-AM" w:eastAsia="en-US"/>
        </w:rPr>
        <w:t>ներ</w:t>
      </w:r>
      <w:r w:rsidR="0065243E" w:rsidRPr="000C590B">
        <w:rPr>
          <w:rFonts w:ascii="GHEA Grapalat" w:eastAsia="GHEA Grapalat" w:hAnsi="GHEA Grapalat" w:cs="GHEA Grapalat"/>
          <w:lang w:val="hy-AM" w:eastAsia="en-US"/>
        </w:rPr>
        <w:t xml:space="preserve">ի ընդունման կապակցությամբ այլ նորմատիվ իրավական ակտերի ընդունման անհրաժեշտություն, ինչպես նաև լրացուցիչ ֆինանսական միջոցների անհրաժեշտություն և պետական բյուջեի եկամուտներում և ծախսերում </w:t>
      </w:r>
      <w:bookmarkStart w:id="0" w:name="_GoBack"/>
      <w:r w:rsidR="0065243E" w:rsidRPr="000C590B">
        <w:rPr>
          <w:rFonts w:ascii="GHEA Grapalat" w:eastAsia="GHEA Grapalat" w:hAnsi="GHEA Grapalat" w:cs="GHEA Grapalat"/>
          <w:lang w:val="hy-AM" w:eastAsia="en-US"/>
        </w:rPr>
        <w:t>փոփոխությունների անհրաժեշտություն առկա չեն:</w:t>
      </w:r>
      <w:bookmarkEnd w:id="0"/>
    </w:p>
    <w:sectPr w:rsidR="0065243E" w:rsidSect="00A866F3">
      <w:headerReference w:type="default" r:id="rId10"/>
      <w:footerReference w:type="default" r:id="rId11"/>
      <w:headerReference w:type="first" r:id="rId12"/>
      <w:footerReference w:type="first" r:id="rId13"/>
      <w:pgSz w:w="11906" w:h="16838" w:code="9"/>
      <w:pgMar w:top="851" w:right="1106" w:bottom="720" w:left="1260" w:header="720"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C21D" w16cex:dateUtc="2021-10-07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C5C37" w16cid:durableId="2509C21D"/>
  <w16cid:commentId w16cid:paraId="5472331E" w16cid:durableId="2509B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BA" w:rsidRDefault="00FF02BA" w:rsidP="0065243E">
      <w:r>
        <w:separator/>
      </w:r>
    </w:p>
  </w:endnote>
  <w:endnote w:type="continuationSeparator" w:id="0">
    <w:p w:rsidR="00FF02BA" w:rsidRDefault="00FF02BA" w:rsidP="0065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gg_Times1">
    <w:altName w:val="Calibri"/>
    <w:charset w:val="CC"/>
    <w:family w:val="roman"/>
    <w:pitch w:val="variable"/>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HEA Grapalat" w:hAnsi="GHEA Grapalat"/>
        <w:sz w:val="20"/>
        <w:szCs w:val="20"/>
      </w:rPr>
      <w:id w:val="8904664"/>
      <w:docPartObj>
        <w:docPartGallery w:val="Page Numbers (Bottom of Page)"/>
        <w:docPartUnique/>
      </w:docPartObj>
    </w:sdtPr>
    <w:sdtEndPr/>
    <w:sdtContent>
      <w:p w:rsidR="00A866F3" w:rsidRPr="00DB7A98" w:rsidRDefault="00E77588">
        <w:pPr>
          <w:pStyle w:val="a3"/>
          <w:jc w:val="right"/>
          <w:rPr>
            <w:rFonts w:ascii="GHEA Grapalat" w:hAnsi="GHEA Grapalat"/>
            <w:sz w:val="20"/>
            <w:szCs w:val="20"/>
          </w:rPr>
        </w:pPr>
        <w:r w:rsidRPr="00DB7A98">
          <w:rPr>
            <w:rFonts w:ascii="GHEA Grapalat" w:hAnsi="GHEA Grapalat"/>
            <w:sz w:val="20"/>
            <w:szCs w:val="20"/>
          </w:rPr>
          <w:fldChar w:fldCharType="begin"/>
        </w:r>
        <w:r w:rsidR="00A866F3" w:rsidRPr="00DB7A98">
          <w:rPr>
            <w:rFonts w:ascii="GHEA Grapalat" w:hAnsi="GHEA Grapalat"/>
            <w:sz w:val="20"/>
            <w:szCs w:val="20"/>
          </w:rPr>
          <w:instrText xml:space="preserve"> PAGE   \* MERGEFORMAT </w:instrText>
        </w:r>
        <w:r w:rsidRPr="00DB7A98">
          <w:rPr>
            <w:rFonts w:ascii="GHEA Grapalat" w:hAnsi="GHEA Grapalat"/>
            <w:sz w:val="20"/>
            <w:szCs w:val="20"/>
          </w:rPr>
          <w:fldChar w:fldCharType="separate"/>
        </w:r>
        <w:r w:rsidR="00E80816">
          <w:rPr>
            <w:rFonts w:ascii="GHEA Grapalat" w:hAnsi="GHEA Grapalat"/>
            <w:noProof/>
            <w:sz w:val="20"/>
            <w:szCs w:val="20"/>
          </w:rPr>
          <w:t>2</w:t>
        </w:r>
        <w:r w:rsidRPr="00DB7A98">
          <w:rPr>
            <w:rFonts w:ascii="GHEA Grapalat" w:hAnsi="GHEA Grapalat"/>
            <w:sz w:val="20"/>
            <w:szCs w:val="20"/>
          </w:rPr>
          <w:fldChar w:fldCharType="end"/>
        </w:r>
      </w:p>
    </w:sdtContent>
  </w:sdt>
  <w:p w:rsidR="00A866F3" w:rsidRPr="00DB7A98" w:rsidRDefault="00A866F3">
    <w:pPr>
      <w:pStyle w:val="a3"/>
      <w:rPr>
        <w:rFonts w:ascii="GHEA Grapalat" w:hAnsi="GHEA Grapalat"/>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F3" w:rsidRDefault="00A866F3">
    <w:pPr>
      <w:pStyle w:val="Armenian"/>
      <w:jc w:val="center"/>
      <w:rPr>
        <w:rFonts w:ascii="GHEA Grapalat" w:hAnsi="GHEA Grapalat"/>
        <w:b/>
        <w:sz w:val="20"/>
        <w:lang w:val="hy-AM"/>
      </w:rPr>
    </w:pPr>
  </w:p>
  <w:p w:rsidR="00A866F3" w:rsidRPr="003912E5" w:rsidRDefault="00A866F3">
    <w:pPr>
      <w:rPr>
        <w:rFonts w:ascii="GHEA Grapalat" w:hAnsi="GHEA Grapalat"/>
        <w:b/>
        <w:color w:val="0000FF"/>
        <w:sz w:val="20"/>
        <w:szCs w:val="20"/>
        <w:lang w:val="hy-AM" w:eastAsia="en-US"/>
      </w:rPr>
    </w:pPr>
  </w:p>
  <w:p w:rsidR="00A866F3" w:rsidRPr="003912E5" w:rsidRDefault="00A866F3">
    <w:pPr>
      <w:rPr>
        <w:rFonts w:ascii="GHEA Grapalat" w:hAnsi="GHEA Grapalat"/>
        <w:b/>
        <w:color w:val="0000FF"/>
        <w:sz w:val="20"/>
        <w:szCs w:val="20"/>
        <w:lang w:val="hy-AM" w:eastAsia="en-US"/>
      </w:rPr>
    </w:pPr>
  </w:p>
  <w:p w:rsidR="00A866F3" w:rsidRPr="003912E5" w:rsidRDefault="00A866F3">
    <w:pPr>
      <w:pStyle w:val="a3"/>
      <w:rPr>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BA" w:rsidRDefault="00FF02BA" w:rsidP="0065243E">
      <w:r>
        <w:separator/>
      </w:r>
    </w:p>
  </w:footnote>
  <w:footnote w:type="continuationSeparator" w:id="0">
    <w:p w:rsidR="00FF02BA" w:rsidRDefault="00FF02BA" w:rsidP="0065243E">
      <w:r>
        <w:continuationSeparator/>
      </w:r>
    </w:p>
  </w:footnote>
  <w:footnote w:id="1">
    <w:p w:rsidR="00A866F3" w:rsidRPr="00B77A8D" w:rsidRDefault="00A866F3" w:rsidP="00315647">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rPr>
        <w:t xml:space="preserve"> https://unric.org/en/who-warns-of-risk-of-a-new-covid-19-wave/</w:t>
      </w:r>
    </w:p>
  </w:footnote>
  <w:footnote w:id="2">
    <w:p w:rsidR="00A866F3" w:rsidRPr="00B77A8D" w:rsidRDefault="00A866F3" w:rsidP="00315647">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rPr>
        <w:t xml:space="preserve"> https://www.who.int/en/activities/tracking-SARS-CoV-2-variants/</w:t>
      </w:r>
    </w:p>
  </w:footnote>
  <w:footnote w:id="3">
    <w:p w:rsidR="00A866F3" w:rsidRPr="00B77A8D" w:rsidRDefault="00A866F3" w:rsidP="00315647">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rPr>
        <w:t xml:space="preserve"> https://www.who.int/emergencies/diseases/novel-coronavirus-2019/covid-19-vaccines/advice</w:t>
      </w:r>
    </w:p>
  </w:footnote>
  <w:footnote w:id="4">
    <w:p w:rsidR="00A866F3" w:rsidRPr="00B77A8D" w:rsidRDefault="00A866F3" w:rsidP="00315647">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lang w:val="en-US"/>
        </w:rPr>
        <w:t xml:space="preserve"> Տարբեր երկրներում կիրառված սահմանափակումների մասին տե՛ս</w:t>
      </w:r>
      <w:r w:rsidRPr="00B77A8D">
        <w:rPr>
          <w:rFonts w:ascii="GHEA Grapalat" w:hAnsi="GHEA Grapalat"/>
        </w:rPr>
        <w:t xml:space="preserve"> </w:t>
      </w:r>
      <w:hyperlink r:id="rId1" w:history="1">
        <w:r w:rsidRPr="00B77A8D">
          <w:rPr>
            <w:rStyle w:val="a5"/>
            <w:rFonts w:ascii="GHEA Grapalat" w:hAnsi="GHEA Grapalat"/>
          </w:rPr>
          <w:t>https://www.reuters.com/world/countries-make-covid-19-vaccines-mandatory-2021-07-13/</w:t>
        </w:r>
      </w:hyperlink>
      <w:r w:rsidRPr="00B77A8D">
        <w:rPr>
          <w:rFonts w:ascii="GHEA Grapalat" w:hAnsi="GHEA Grapalat"/>
          <w:lang w:val="en-US"/>
        </w:rPr>
        <w:t xml:space="preserve">; https://mintrud.gov.ru/docs/1876; https://www.eeoc.gov/wysk/what-you-should-know-about-covid-19-and-ada-rehabilitation-act-and-other-eeo-laws; </w:t>
      </w:r>
      <w:hyperlink r:id="rId2" w:history="1">
        <w:r w:rsidRPr="00B77A8D">
          <w:rPr>
            <w:rStyle w:val="a5"/>
            <w:rFonts w:ascii="GHEA Grapalat" w:hAnsi="GHEA Grapalat"/>
            <w:lang w:val="en-US"/>
          </w:rPr>
          <w:t>https://www.gov.uk/government/publications/covid-19-vaccination-guide-for-employers/covid-19-vaccination-guide-for-employers</w:t>
        </w:r>
      </w:hyperlink>
      <w:r w:rsidRPr="00B77A8D">
        <w:rPr>
          <w:rFonts w:ascii="GHEA Grapalat" w:hAnsi="GHEA Grapalat"/>
          <w:lang w:val="en-US"/>
        </w:rPr>
        <w:t xml:space="preserve">; </w:t>
      </w:r>
      <w:hyperlink r:id="rId3" w:history="1">
        <w:r w:rsidRPr="00B77A8D">
          <w:rPr>
            <w:rStyle w:val="a5"/>
            <w:rFonts w:ascii="GHEA Grapalat" w:hAnsi="GHEA Grapalat"/>
            <w:lang w:val="en-US"/>
          </w:rPr>
          <w:t>https://www.lexology.com/library/detail.aspx?g=cf2f8fbc-c47d-4658-9437-65fa0c795883</w:t>
        </w:r>
      </w:hyperlink>
      <w:r w:rsidRPr="00B77A8D">
        <w:rPr>
          <w:rFonts w:ascii="GHEA Grapalat" w:hAnsi="GHEA Grapalat"/>
          <w:lang w:val="en-US"/>
        </w:rPr>
        <w:t xml:space="preserve"> :</w:t>
      </w:r>
    </w:p>
  </w:footnote>
  <w:footnote w:id="5">
    <w:p w:rsidR="00AC3048" w:rsidRPr="0076165E" w:rsidRDefault="00AC3048" w:rsidP="00AC3048">
      <w:pPr>
        <w:pStyle w:val="a8"/>
        <w:jc w:val="both"/>
        <w:rPr>
          <w:rFonts w:ascii="GHEA Grapalat" w:hAnsi="GHEA Grapalat"/>
          <w:lang w:val="en-US"/>
        </w:rPr>
      </w:pPr>
      <w:r w:rsidRPr="0076165E">
        <w:rPr>
          <w:rStyle w:val="aa"/>
          <w:rFonts w:ascii="GHEA Grapalat" w:hAnsi="GHEA Grapalat"/>
        </w:rPr>
        <w:footnoteRef/>
      </w:r>
      <w:r w:rsidRPr="0076165E">
        <w:rPr>
          <w:rFonts w:ascii="GHEA Grapalat" w:hAnsi="GHEA Grapalat"/>
        </w:rPr>
        <w:t xml:space="preserve"> Հաշվարկն իրականացվել է </w:t>
      </w:r>
      <w:r w:rsidRPr="0076165E">
        <w:rPr>
          <w:rFonts w:ascii="GHEA Grapalat" w:hAnsi="GHEA Grapalat"/>
          <w:lang w:val="en-US"/>
        </w:rPr>
        <w:t>հանրային իշխանության մարմինների</w:t>
      </w:r>
      <w:r w:rsidRPr="0076165E">
        <w:rPr>
          <w:rFonts w:ascii="GHEA Grapalat" w:hAnsi="GHEA Grapalat"/>
        </w:rPr>
        <w:t xml:space="preserve"> կողմից տրամադրված տեղեկատվության և </w:t>
      </w:r>
      <w:r w:rsidRPr="0076165E">
        <w:rPr>
          <w:rFonts w:ascii="GHEA Grapalat" w:hAnsi="GHEA Grapalat"/>
          <w:lang w:val="en-US"/>
        </w:rPr>
        <w:t>Վ</w:t>
      </w:r>
      <w:r w:rsidRPr="0076165E">
        <w:rPr>
          <w:rFonts w:ascii="GHEA Grapalat" w:hAnsi="GHEA Grapalat"/>
        </w:rPr>
        <w:t>արչապետի Պետական իշխանության մարմիններում հաստիքների առավելագույն թիվը սահմանելու մասին 11.06.2018 թվականի թիվ 706-Ա որոշմամբ նախատեսված հաստիքների թվաքանակի համադրմամբ:</w:t>
      </w:r>
    </w:p>
  </w:footnote>
  <w:footnote w:id="6">
    <w:p w:rsidR="00DE2670" w:rsidRPr="00B77A8D" w:rsidRDefault="00DE2670" w:rsidP="00DE2670">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rPr>
        <w:t xml:space="preserve"> https://www.whitehouse.gov/briefing-room/presidential-actions/2021/09/09/executive-order-on-requiring-coronavirus-disease-2019-vaccination-for-federal-employees/</w:t>
      </w:r>
    </w:p>
  </w:footnote>
  <w:footnote w:id="7">
    <w:p w:rsidR="00A866F3" w:rsidRPr="00B77A8D" w:rsidRDefault="00A866F3" w:rsidP="00315647">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lang w:val="en-US"/>
        </w:rPr>
        <w:t xml:space="preserve"> </w:t>
      </w:r>
      <w:r w:rsidRPr="00B77A8D">
        <w:rPr>
          <w:rStyle w:val="s7d2086b4"/>
          <w:rFonts w:ascii="GHEA Grapalat" w:hAnsi="GHEA Grapalat" w:cs="Arial"/>
          <w:bCs/>
          <w:shd w:val="clear" w:color="auto" w:fill="FFFFFF"/>
          <w:lang w:val="en-US"/>
        </w:rPr>
        <w:t xml:space="preserve">Vavřička and Others v. the Czech Republic [GC], application nos.  </w:t>
      </w:r>
      <w:r w:rsidRPr="00B77A8D">
        <w:rPr>
          <w:rStyle w:val="s7d2086b4"/>
          <w:rFonts w:ascii="GHEA Grapalat" w:hAnsi="GHEA Grapalat" w:cs="Arial"/>
          <w:bCs/>
          <w:shd w:val="clear" w:color="auto" w:fill="FFFFFF"/>
        </w:rPr>
        <w:t>47621/13, 3867/14, 73094/14, judgment of 08 April 2021</w:t>
      </w:r>
      <w:r w:rsidRPr="00B77A8D">
        <w:rPr>
          <w:rStyle w:val="s7d2086b4"/>
          <w:rFonts w:ascii="GHEA Grapalat" w:hAnsi="GHEA Grapalat" w:cs="Arial"/>
          <w:bCs/>
          <w:shd w:val="clear" w:color="auto" w:fill="FFFFFF"/>
          <w:lang w:val="en-US"/>
        </w:rPr>
        <w:t xml:space="preserve">, </w:t>
      </w:r>
      <w:r w:rsidRPr="00B77A8D">
        <w:rPr>
          <w:rFonts w:ascii="GHEA Grapalat" w:hAnsi="GHEA Grapalat" w:cs="Arial"/>
          <w:shd w:val="clear" w:color="auto" w:fill="FFFFFF"/>
        </w:rPr>
        <w:t>§§</w:t>
      </w:r>
      <w:r w:rsidRPr="00B77A8D">
        <w:rPr>
          <w:rFonts w:ascii="GHEA Grapalat" w:hAnsi="GHEA Grapalat" w:cs="Arial"/>
          <w:shd w:val="clear" w:color="auto" w:fill="FFFFFF"/>
          <w:lang w:val="en-US"/>
        </w:rPr>
        <w:t xml:space="preserve"> 282-283</w:t>
      </w:r>
    </w:p>
  </w:footnote>
  <w:footnote w:id="8">
    <w:p w:rsidR="00A866F3" w:rsidRPr="00B77A8D" w:rsidRDefault="00A866F3" w:rsidP="00315647">
      <w:pPr>
        <w:pStyle w:val="a8"/>
        <w:jc w:val="both"/>
        <w:rPr>
          <w:rFonts w:ascii="GHEA Grapalat" w:hAnsi="GHEA Grapalat"/>
          <w:lang w:val="en-US"/>
        </w:rPr>
      </w:pPr>
      <w:r w:rsidRPr="00B77A8D">
        <w:rPr>
          <w:rStyle w:val="aa"/>
          <w:rFonts w:ascii="GHEA Grapalat" w:hAnsi="GHEA Grapalat"/>
        </w:rPr>
        <w:footnoteRef/>
      </w:r>
      <w:r w:rsidRPr="00B77A8D">
        <w:rPr>
          <w:rFonts w:ascii="GHEA Grapalat" w:hAnsi="GHEA Grapalat"/>
        </w:rPr>
        <w:t xml:space="preserve"> Solomakhin v. Ukraine, application no. 24429/03, judgment of 15 March 2012</w:t>
      </w:r>
      <w:r w:rsidRPr="00B77A8D">
        <w:rPr>
          <w:rFonts w:ascii="GHEA Grapalat" w:hAnsi="GHEA Grapalat"/>
          <w:lang w:val="en-US"/>
        </w:rPr>
        <w:t>, §§ 33, 36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F3" w:rsidRDefault="00A866F3">
    <w:pPr>
      <w:pStyle w:val="ac"/>
      <w:jc w:val="right"/>
    </w:pPr>
  </w:p>
  <w:p w:rsidR="00A866F3" w:rsidRDefault="00A866F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F3" w:rsidRDefault="00A866F3">
    <w:pPr>
      <w:jc w:val="center"/>
      <w:rPr>
        <w:rFonts w:ascii="Sylfaen" w:hAnsi="Sylfaen"/>
        <w:lang w:val="hy-AM"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3E"/>
    <w:rsid w:val="000050CC"/>
    <w:rsid w:val="0000589D"/>
    <w:rsid w:val="00012346"/>
    <w:rsid w:val="00020A7F"/>
    <w:rsid w:val="000247E1"/>
    <w:rsid w:val="0002534A"/>
    <w:rsid w:val="00025A25"/>
    <w:rsid w:val="0002611B"/>
    <w:rsid w:val="000267BF"/>
    <w:rsid w:val="00031601"/>
    <w:rsid w:val="00033F46"/>
    <w:rsid w:val="00044398"/>
    <w:rsid w:val="000478CA"/>
    <w:rsid w:val="00053076"/>
    <w:rsid w:val="00054439"/>
    <w:rsid w:val="00054E22"/>
    <w:rsid w:val="00060402"/>
    <w:rsid w:val="000635A3"/>
    <w:rsid w:val="000644BA"/>
    <w:rsid w:val="0006604A"/>
    <w:rsid w:val="00075C58"/>
    <w:rsid w:val="00084F18"/>
    <w:rsid w:val="00085E7B"/>
    <w:rsid w:val="00090398"/>
    <w:rsid w:val="000927D7"/>
    <w:rsid w:val="00093520"/>
    <w:rsid w:val="00095D20"/>
    <w:rsid w:val="000A0EDF"/>
    <w:rsid w:val="000A1DF7"/>
    <w:rsid w:val="000A2539"/>
    <w:rsid w:val="000A32F5"/>
    <w:rsid w:val="000A4825"/>
    <w:rsid w:val="000A73FA"/>
    <w:rsid w:val="000B17FC"/>
    <w:rsid w:val="000B1B21"/>
    <w:rsid w:val="000B5CC9"/>
    <w:rsid w:val="000B5D96"/>
    <w:rsid w:val="000B7226"/>
    <w:rsid w:val="000C39B8"/>
    <w:rsid w:val="000C5743"/>
    <w:rsid w:val="000D03F9"/>
    <w:rsid w:val="000D2F5B"/>
    <w:rsid w:val="000D41D3"/>
    <w:rsid w:val="000D7A19"/>
    <w:rsid w:val="000D7B6D"/>
    <w:rsid w:val="000E1460"/>
    <w:rsid w:val="000E26C3"/>
    <w:rsid w:val="000E2B62"/>
    <w:rsid w:val="000E311F"/>
    <w:rsid w:val="000E4946"/>
    <w:rsid w:val="000E6A5B"/>
    <w:rsid w:val="000E72E0"/>
    <w:rsid w:val="000F19C2"/>
    <w:rsid w:val="000F5B4D"/>
    <w:rsid w:val="000F6AE9"/>
    <w:rsid w:val="000F7C75"/>
    <w:rsid w:val="00104F85"/>
    <w:rsid w:val="00105EDF"/>
    <w:rsid w:val="0010704D"/>
    <w:rsid w:val="00107DF1"/>
    <w:rsid w:val="00112DAE"/>
    <w:rsid w:val="00123A78"/>
    <w:rsid w:val="001259F5"/>
    <w:rsid w:val="0012603E"/>
    <w:rsid w:val="00137615"/>
    <w:rsid w:val="00140484"/>
    <w:rsid w:val="00141B6A"/>
    <w:rsid w:val="0014253F"/>
    <w:rsid w:val="00143B13"/>
    <w:rsid w:val="0014541B"/>
    <w:rsid w:val="0015107D"/>
    <w:rsid w:val="001521CC"/>
    <w:rsid w:val="0016570F"/>
    <w:rsid w:val="00175A7F"/>
    <w:rsid w:val="00175B2D"/>
    <w:rsid w:val="00176B94"/>
    <w:rsid w:val="00177639"/>
    <w:rsid w:val="00184EC7"/>
    <w:rsid w:val="00184EE0"/>
    <w:rsid w:val="0018546F"/>
    <w:rsid w:val="001868FE"/>
    <w:rsid w:val="00187C6F"/>
    <w:rsid w:val="00190904"/>
    <w:rsid w:val="00190CB6"/>
    <w:rsid w:val="00190E6B"/>
    <w:rsid w:val="00193D29"/>
    <w:rsid w:val="00196B8E"/>
    <w:rsid w:val="001972E3"/>
    <w:rsid w:val="001A0487"/>
    <w:rsid w:val="001A64CE"/>
    <w:rsid w:val="001B08FF"/>
    <w:rsid w:val="001B1539"/>
    <w:rsid w:val="001B49DA"/>
    <w:rsid w:val="001B51EF"/>
    <w:rsid w:val="001B5CB5"/>
    <w:rsid w:val="001B6C26"/>
    <w:rsid w:val="001B7806"/>
    <w:rsid w:val="001C4645"/>
    <w:rsid w:val="001C6E5D"/>
    <w:rsid w:val="001C7312"/>
    <w:rsid w:val="001D2323"/>
    <w:rsid w:val="001D3C43"/>
    <w:rsid w:val="001D41F3"/>
    <w:rsid w:val="001E3D3E"/>
    <w:rsid w:val="001E6E15"/>
    <w:rsid w:val="001F48A7"/>
    <w:rsid w:val="001F69C8"/>
    <w:rsid w:val="00200802"/>
    <w:rsid w:val="00206A42"/>
    <w:rsid w:val="002115D6"/>
    <w:rsid w:val="00215996"/>
    <w:rsid w:val="00215BB5"/>
    <w:rsid w:val="002160FC"/>
    <w:rsid w:val="002205E5"/>
    <w:rsid w:val="0022626B"/>
    <w:rsid w:val="00230530"/>
    <w:rsid w:val="00230D2E"/>
    <w:rsid w:val="0023124C"/>
    <w:rsid w:val="00231FF5"/>
    <w:rsid w:val="00233E6C"/>
    <w:rsid w:val="00237324"/>
    <w:rsid w:val="0024096E"/>
    <w:rsid w:val="002447F6"/>
    <w:rsid w:val="00251212"/>
    <w:rsid w:val="0025122F"/>
    <w:rsid w:val="00251620"/>
    <w:rsid w:val="00251BEF"/>
    <w:rsid w:val="00252BEF"/>
    <w:rsid w:val="002531EF"/>
    <w:rsid w:val="002579B8"/>
    <w:rsid w:val="002609B6"/>
    <w:rsid w:val="002613A6"/>
    <w:rsid w:val="00264BDC"/>
    <w:rsid w:val="00272E84"/>
    <w:rsid w:val="00274C27"/>
    <w:rsid w:val="00274DF9"/>
    <w:rsid w:val="00277DB5"/>
    <w:rsid w:val="002850FB"/>
    <w:rsid w:val="00290478"/>
    <w:rsid w:val="002916B3"/>
    <w:rsid w:val="00295346"/>
    <w:rsid w:val="0029641F"/>
    <w:rsid w:val="002966CB"/>
    <w:rsid w:val="002A235E"/>
    <w:rsid w:val="002A5E10"/>
    <w:rsid w:val="002A7FED"/>
    <w:rsid w:val="002B3159"/>
    <w:rsid w:val="002B558E"/>
    <w:rsid w:val="002C40DF"/>
    <w:rsid w:val="002C563F"/>
    <w:rsid w:val="002C7D7F"/>
    <w:rsid w:val="002D3F60"/>
    <w:rsid w:val="002D4B0C"/>
    <w:rsid w:val="002D5AD7"/>
    <w:rsid w:val="002D6660"/>
    <w:rsid w:val="002E2C71"/>
    <w:rsid w:val="002E2D12"/>
    <w:rsid w:val="002E2F2F"/>
    <w:rsid w:val="002E46B1"/>
    <w:rsid w:val="002E5663"/>
    <w:rsid w:val="002E734F"/>
    <w:rsid w:val="002F7EE7"/>
    <w:rsid w:val="003044D9"/>
    <w:rsid w:val="00305DAB"/>
    <w:rsid w:val="00315647"/>
    <w:rsid w:val="0032016E"/>
    <w:rsid w:val="00323EA9"/>
    <w:rsid w:val="00324F02"/>
    <w:rsid w:val="00324F15"/>
    <w:rsid w:val="003252D0"/>
    <w:rsid w:val="003314B7"/>
    <w:rsid w:val="00335D54"/>
    <w:rsid w:val="00336A81"/>
    <w:rsid w:val="003433C6"/>
    <w:rsid w:val="003450B8"/>
    <w:rsid w:val="00347F4B"/>
    <w:rsid w:val="003502A8"/>
    <w:rsid w:val="00350DA6"/>
    <w:rsid w:val="00354AAB"/>
    <w:rsid w:val="00355274"/>
    <w:rsid w:val="00356EC4"/>
    <w:rsid w:val="003639EA"/>
    <w:rsid w:val="00372618"/>
    <w:rsid w:val="00374646"/>
    <w:rsid w:val="0037668F"/>
    <w:rsid w:val="0037691F"/>
    <w:rsid w:val="00377E5A"/>
    <w:rsid w:val="003804D2"/>
    <w:rsid w:val="003806BA"/>
    <w:rsid w:val="0038143D"/>
    <w:rsid w:val="00383334"/>
    <w:rsid w:val="003942A1"/>
    <w:rsid w:val="00397F7A"/>
    <w:rsid w:val="003A4AEA"/>
    <w:rsid w:val="003A699C"/>
    <w:rsid w:val="003B2423"/>
    <w:rsid w:val="003C2B00"/>
    <w:rsid w:val="003C5E6B"/>
    <w:rsid w:val="003C6E57"/>
    <w:rsid w:val="003C7D99"/>
    <w:rsid w:val="003D1317"/>
    <w:rsid w:val="003D185C"/>
    <w:rsid w:val="003D3BEB"/>
    <w:rsid w:val="003E0C28"/>
    <w:rsid w:val="003E660E"/>
    <w:rsid w:val="003E782F"/>
    <w:rsid w:val="00403CFD"/>
    <w:rsid w:val="00404711"/>
    <w:rsid w:val="00404BA4"/>
    <w:rsid w:val="0040605D"/>
    <w:rsid w:val="004268AB"/>
    <w:rsid w:val="0043566D"/>
    <w:rsid w:val="00435A83"/>
    <w:rsid w:val="004403C7"/>
    <w:rsid w:val="004436EA"/>
    <w:rsid w:val="00443F0E"/>
    <w:rsid w:val="00444F90"/>
    <w:rsid w:val="00445F3B"/>
    <w:rsid w:val="00446EFE"/>
    <w:rsid w:val="004477AE"/>
    <w:rsid w:val="00450139"/>
    <w:rsid w:val="004523C5"/>
    <w:rsid w:val="004528D4"/>
    <w:rsid w:val="00455415"/>
    <w:rsid w:val="00455DFD"/>
    <w:rsid w:val="0046111B"/>
    <w:rsid w:val="00464FBC"/>
    <w:rsid w:val="00467E53"/>
    <w:rsid w:val="00471C91"/>
    <w:rsid w:val="00483DCC"/>
    <w:rsid w:val="00483FD3"/>
    <w:rsid w:val="004879E0"/>
    <w:rsid w:val="00493ABA"/>
    <w:rsid w:val="004B06E0"/>
    <w:rsid w:val="004C23C7"/>
    <w:rsid w:val="004C311F"/>
    <w:rsid w:val="004C31E0"/>
    <w:rsid w:val="004C4DC9"/>
    <w:rsid w:val="004D00C1"/>
    <w:rsid w:val="004D1AD3"/>
    <w:rsid w:val="004D650C"/>
    <w:rsid w:val="004D666D"/>
    <w:rsid w:val="004E2AE5"/>
    <w:rsid w:val="004E3901"/>
    <w:rsid w:val="004E4AF4"/>
    <w:rsid w:val="004E7725"/>
    <w:rsid w:val="004F4707"/>
    <w:rsid w:val="0050118F"/>
    <w:rsid w:val="005013BA"/>
    <w:rsid w:val="00502026"/>
    <w:rsid w:val="005104E5"/>
    <w:rsid w:val="00511F1C"/>
    <w:rsid w:val="00513BD9"/>
    <w:rsid w:val="005153D9"/>
    <w:rsid w:val="00516ED2"/>
    <w:rsid w:val="00526AAF"/>
    <w:rsid w:val="00531685"/>
    <w:rsid w:val="0053262F"/>
    <w:rsid w:val="00536A44"/>
    <w:rsid w:val="00540383"/>
    <w:rsid w:val="0055057B"/>
    <w:rsid w:val="00554C33"/>
    <w:rsid w:val="0055549A"/>
    <w:rsid w:val="005569F6"/>
    <w:rsid w:val="00561FA4"/>
    <w:rsid w:val="005640F4"/>
    <w:rsid w:val="0057275E"/>
    <w:rsid w:val="005809E6"/>
    <w:rsid w:val="005821BE"/>
    <w:rsid w:val="00592021"/>
    <w:rsid w:val="00596BBF"/>
    <w:rsid w:val="00597E48"/>
    <w:rsid w:val="005A0277"/>
    <w:rsid w:val="005A142E"/>
    <w:rsid w:val="005A1B48"/>
    <w:rsid w:val="005A7842"/>
    <w:rsid w:val="005B1E97"/>
    <w:rsid w:val="005B2E21"/>
    <w:rsid w:val="005C089C"/>
    <w:rsid w:val="005C1507"/>
    <w:rsid w:val="005C1893"/>
    <w:rsid w:val="005C2D38"/>
    <w:rsid w:val="005C4104"/>
    <w:rsid w:val="005C4983"/>
    <w:rsid w:val="005D2A0A"/>
    <w:rsid w:val="005D66ED"/>
    <w:rsid w:val="005E308C"/>
    <w:rsid w:val="005F1D56"/>
    <w:rsid w:val="005F4CBD"/>
    <w:rsid w:val="005F76A6"/>
    <w:rsid w:val="00607072"/>
    <w:rsid w:val="00616CF5"/>
    <w:rsid w:val="00617FB2"/>
    <w:rsid w:val="006212D9"/>
    <w:rsid w:val="00622424"/>
    <w:rsid w:val="006241F1"/>
    <w:rsid w:val="006260EE"/>
    <w:rsid w:val="006309CB"/>
    <w:rsid w:val="00631473"/>
    <w:rsid w:val="00634001"/>
    <w:rsid w:val="00634C16"/>
    <w:rsid w:val="00636A55"/>
    <w:rsid w:val="00636DFC"/>
    <w:rsid w:val="00636EC8"/>
    <w:rsid w:val="00647F8C"/>
    <w:rsid w:val="00651E92"/>
    <w:rsid w:val="0065243E"/>
    <w:rsid w:val="0065660C"/>
    <w:rsid w:val="006623BE"/>
    <w:rsid w:val="0066371E"/>
    <w:rsid w:val="00665FFE"/>
    <w:rsid w:val="00667103"/>
    <w:rsid w:val="00673F43"/>
    <w:rsid w:val="0067547B"/>
    <w:rsid w:val="00677097"/>
    <w:rsid w:val="006770B2"/>
    <w:rsid w:val="00681991"/>
    <w:rsid w:val="00682CBD"/>
    <w:rsid w:val="0068352C"/>
    <w:rsid w:val="00687C7A"/>
    <w:rsid w:val="006932DA"/>
    <w:rsid w:val="0069418E"/>
    <w:rsid w:val="006946A4"/>
    <w:rsid w:val="00694F66"/>
    <w:rsid w:val="006950C0"/>
    <w:rsid w:val="00697113"/>
    <w:rsid w:val="006A05AE"/>
    <w:rsid w:val="006A0B83"/>
    <w:rsid w:val="006A19C9"/>
    <w:rsid w:val="006A3DCB"/>
    <w:rsid w:val="006A4128"/>
    <w:rsid w:val="006A5543"/>
    <w:rsid w:val="006A6F1B"/>
    <w:rsid w:val="006A7F7E"/>
    <w:rsid w:val="006B2952"/>
    <w:rsid w:val="006B5574"/>
    <w:rsid w:val="006B686C"/>
    <w:rsid w:val="006C20B9"/>
    <w:rsid w:val="006C3FE1"/>
    <w:rsid w:val="006C6CFC"/>
    <w:rsid w:val="006C70E1"/>
    <w:rsid w:val="006D3340"/>
    <w:rsid w:val="006D382F"/>
    <w:rsid w:val="006D51A0"/>
    <w:rsid w:val="006D53D2"/>
    <w:rsid w:val="006D69E1"/>
    <w:rsid w:val="006F0FB3"/>
    <w:rsid w:val="006F2087"/>
    <w:rsid w:val="006F4E90"/>
    <w:rsid w:val="006F5731"/>
    <w:rsid w:val="006F6325"/>
    <w:rsid w:val="0070428C"/>
    <w:rsid w:val="00707349"/>
    <w:rsid w:val="00707CFD"/>
    <w:rsid w:val="00716BFE"/>
    <w:rsid w:val="00716F3B"/>
    <w:rsid w:val="00724337"/>
    <w:rsid w:val="007309D3"/>
    <w:rsid w:val="00731CCC"/>
    <w:rsid w:val="00733FC0"/>
    <w:rsid w:val="00734343"/>
    <w:rsid w:val="007369D5"/>
    <w:rsid w:val="00737904"/>
    <w:rsid w:val="007433E7"/>
    <w:rsid w:val="00743553"/>
    <w:rsid w:val="00746E54"/>
    <w:rsid w:val="007471AF"/>
    <w:rsid w:val="00751EF9"/>
    <w:rsid w:val="007556D9"/>
    <w:rsid w:val="0076165E"/>
    <w:rsid w:val="0076264F"/>
    <w:rsid w:val="00765CE7"/>
    <w:rsid w:val="00767465"/>
    <w:rsid w:val="00767AB1"/>
    <w:rsid w:val="00772D19"/>
    <w:rsid w:val="007764D7"/>
    <w:rsid w:val="00780A1A"/>
    <w:rsid w:val="00781CED"/>
    <w:rsid w:val="007839E3"/>
    <w:rsid w:val="007872CA"/>
    <w:rsid w:val="00787BDA"/>
    <w:rsid w:val="00793FFE"/>
    <w:rsid w:val="00796B8D"/>
    <w:rsid w:val="007A047B"/>
    <w:rsid w:val="007A5F86"/>
    <w:rsid w:val="007B164E"/>
    <w:rsid w:val="007B2515"/>
    <w:rsid w:val="007B47CF"/>
    <w:rsid w:val="007B684B"/>
    <w:rsid w:val="007C0293"/>
    <w:rsid w:val="007C719D"/>
    <w:rsid w:val="007D16BC"/>
    <w:rsid w:val="007D56DE"/>
    <w:rsid w:val="007D7E24"/>
    <w:rsid w:val="007E2495"/>
    <w:rsid w:val="007E4C1D"/>
    <w:rsid w:val="007E5E87"/>
    <w:rsid w:val="007F179A"/>
    <w:rsid w:val="007F3B66"/>
    <w:rsid w:val="007F41A9"/>
    <w:rsid w:val="0080420F"/>
    <w:rsid w:val="0081642B"/>
    <w:rsid w:val="008206FC"/>
    <w:rsid w:val="008324FF"/>
    <w:rsid w:val="008337B4"/>
    <w:rsid w:val="008346C8"/>
    <w:rsid w:val="008349ED"/>
    <w:rsid w:val="00837276"/>
    <w:rsid w:val="0084045B"/>
    <w:rsid w:val="00842069"/>
    <w:rsid w:val="008463E7"/>
    <w:rsid w:val="008475CA"/>
    <w:rsid w:val="0084799F"/>
    <w:rsid w:val="00847E7C"/>
    <w:rsid w:val="00850E93"/>
    <w:rsid w:val="00852BE4"/>
    <w:rsid w:val="00853BB2"/>
    <w:rsid w:val="00853CF7"/>
    <w:rsid w:val="008569B4"/>
    <w:rsid w:val="008621F9"/>
    <w:rsid w:val="00865EAA"/>
    <w:rsid w:val="00865FD0"/>
    <w:rsid w:val="00875E36"/>
    <w:rsid w:val="0087639F"/>
    <w:rsid w:val="008763E9"/>
    <w:rsid w:val="00881B01"/>
    <w:rsid w:val="00881B7F"/>
    <w:rsid w:val="008832EE"/>
    <w:rsid w:val="008860EB"/>
    <w:rsid w:val="00890137"/>
    <w:rsid w:val="008947B0"/>
    <w:rsid w:val="008A096D"/>
    <w:rsid w:val="008A22E3"/>
    <w:rsid w:val="008A45F1"/>
    <w:rsid w:val="008A4F42"/>
    <w:rsid w:val="008A5B2E"/>
    <w:rsid w:val="008B11F1"/>
    <w:rsid w:val="008B3AB9"/>
    <w:rsid w:val="008B5BDD"/>
    <w:rsid w:val="008B79A7"/>
    <w:rsid w:val="008C0799"/>
    <w:rsid w:val="008C0915"/>
    <w:rsid w:val="008C1BD6"/>
    <w:rsid w:val="008C1D49"/>
    <w:rsid w:val="008C26EA"/>
    <w:rsid w:val="008C79FA"/>
    <w:rsid w:val="008D1C1A"/>
    <w:rsid w:val="008E1360"/>
    <w:rsid w:val="008E2227"/>
    <w:rsid w:val="008E453C"/>
    <w:rsid w:val="008E6CC1"/>
    <w:rsid w:val="008E7B61"/>
    <w:rsid w:val="008F1F73"/>
    <w:rsid w:val="008F5FD1"/>
    <w:rsid w:val="009006F6"/>
    <w:rsid w:val="00901641"/>
    <w:rsid w:val="0090214D"/>
    <w:rsid w:val="00902E22"/>
    <w:rsid w:val="00904BC5"/>
    <w:rsid w:val="00906048"/>
    <w:rsid w:val="009075BD"/>
    <w:rsid w:val="009079FD"/>
    <w:rsid w:val="00910A70"/>
    <w:rsid w:val="009179DE"/>
    <w:rsid w:val="00923F15"/>
    <w:rsid w:val="009300EB"/>
    <w:rsid w:val="00931B90"/>
    <w:rsid w:val="009322EC"/>
    <w:rsid w:val="00934A83"/>
    <w:rsid w:val="00941577"/>
    <w:rsid w:val="009423B7"/>
    <w:rsid w:val="00942E16"/>
    <w:rsid w:val="00943CB2"/>
    <w:rsid w:val="009451D0"/>
    <w:rsid w:val="00961792"/>
    <w:rsid w:val="00964440"/>
    <w:rsid w:val="0098211B"/>
    <w:rsid w:val="0098762B"/>
    <w:rsid w:val="00990023"/>
    <w:rsid w:val="009B32B9"/>
    <w:rsid w:val="009B4E93"/>
    <w:rsid w:val="009B520B"/>
    <w:rsid w:val="009C1E9A"/>
    <w:rsid w:val="009C1F69"/>
    <w:rsid w:val="009C2634"/>
    <w:rsid w:val="009D6FEA"/>
    <w:rsid w:val="009D72CB"/>
    <w:rsid w:val="009E0DDA"/>
    <w:rsid w:val="009E2C45"/>
    <w:rsid w:val="009E2EF2"/>
    <w:rsid w:val="009E35CE"/>
    <w:rsid w:val="009E60D3"/>
    <w:rsid w:val="009E630F"/>
    <w:rsid w:val="009E636D"/>
    <w:rsid w:val="009F3436"/>
    <w:rsid w:val="009F429E"/>
    <w:rsid w:val="009F510D"/>
    <w:rsid w:val="00A012E8"/>
    <w:rsid w:val="00A0199C"/>
    <w:rsid w:val="00A0311C"/>
    <w:rsid w:val="00A04DC6"/>
    <w:rsid w:val="00A06449"/>
    <w:rsid w:val="00A14D17"/>
    <w:rsid w:val="00A15D6B"/>
    <w:rsid w:val="00A16444"/>
    <w:rsid w:val="00A17632"/>
    <w:rsid w:val="00A20E42"/>
    <w:rsid w:val="00A244DE"/>
    <w:rsid w:val="00A270E6"/>
    <w:rsid w:val="00A272C6"/>
    <w:rsid w:val="00A31D46"/>
    <w:rsid w:val="00A32398"/>
    <w:rsid w:val="00A37873"/>
    <w:rsid w:val="00A4222A"/>
    <w:rsid w:val="00A4424F"/>
    <w:rsid w:val="00A44E03"/>
    <w:rsid w:val="00A53167"/>
    <w:rsid w:val="00A569EA"/>
    <w:rsid w:val="00A63991"/>
    <w:rsid w:val="00A65824"/>
    <w:rsid w:val="00A66FA9"/>
    <w:rsid w:val="00A678C8"/>
    <w:rsid w:val="00A71402"/>
    <w:rsid w:val="00A74C03"/>
    <w:rsid w:val="00A75181"/>
    <w:rsid w:val="00A77678"/>
    <w:rsid w:val="00A82951"/>
    <w:rsid w:val="00A836AD"/>
    <w:rsid w:val="00A85A59"/>
    <w:rsid w:val="00A866F3"/>
    <w:rsid w:val="00A87202"/>
    <w:rsid w:val="00A908E7"/>
    <w:rsid w:val="00A93686"/>
    <w:rsid w:val="00A93CF2"/>
    <w:rsid w:val="00A9499A"/>
    <w:rsid w:val="00A966D9"/>
    <w:rsid w:val="00AA0421"/>
    <w:rsid w:val="00AA4047"/>
    <w:rsid w:val="00AB04E1"/>
    <w:rsid w:val="00AB4AFC"/>
    <w:rsid w:val="00AC3048"/>
    <w:rsid w:val="00AC32C6"/>
    <w:rsid w:val="00AC34C1"/>
    <w:rsid w:val="00AC62B4"/>
    <w:rsid w:val="00AD0684"/>
    <w:rsid w:val="00AD183D"/>
    <w:rsid w:val="00AD27A7"/>
    <w:rsid w:val="00AD720B"/>
    <w:rsid w:val="00AE169F"/>
    <w:rsid w:val="00AE5D38"/>
    <w:rsid w:val="00AF638A"/>
    <w:rsid w:val="00AF6512"/>
    <w:rsid w:val="00B03F5C"/>
    <w:rsid w:val="00B112E7"/>
    <w:rsid w:val="00B163D7"/>
    <w:rsid w:val="00B1799D"/>
    <w:rsid w:val="00B20BEE"/>
    <w:rsid w:val="00B26E37"/>
    <w:rsid w:val="00B31316"/>
    <w:rsid w:val="00B37826"/>
    <w:rsid w:val="00B41698"/>
    <w:rsid w:val="00B42D00"/>
    <w:rsid w:val="00B43072"/>
    <w:rsid w:val="00B47D0E"/>
    <w:rsid w:val="00B549BA"/>
    <w:rsid w:val="00B55334"/>
    <w:rsid w:val="00B61981"/>
    <w:rsid w:val="00B649A6"/>
    <w:rsid w:val="00B66D51"/>
    <w:rsid w:val="00B705DB"/>
    <w:rsid w:val="00B72618"/>
    <w:rsid w:val="00B72AE9"/>
    <w:rsid w:val="00B766C8"/>
    <w:rsid w:val="00B77A8D"/>
    <w:rsid w:val="00B80DAD"/>
    <w:rsid w:val="00B82ED9"/>
    <w:rsid w:val="00B91A8C"/>
    <w:rsid w:val="00B96204"/>
    <w:rsid w:val="00BA168E"/>
    <w:rsid w:val="00BA284E"/>
    <w:rsid w:val="00BA61E5"/>
    <w:rsid w:val="00BA72C9"/>
    <w:rsid w:val="00BB1BD4"/>
    <w:rsid w:val="00BB1DB3"/>
    <w:rsid w:val="00BB21BF"/>
    <w:rsid w:val="00BB58C6"/>
    <w:rsid w:val="00BC199D"/>
    <w:rsid w:val="00BC20FF"/>
    <w:rsid w:val="00BC2DAE"/>
    <w:rsid w:val="00BC418E"/>
    <w:rsid w:val="00BC47BA"/>
    <w:rsid w:val="00BC7995"/>
    <w:rsid w:val="00BD22AE"/>
    <w:rsid w:val="00BD449F"/>
    <w:rsid w:val="00BD686D"/>
    <w:rsid w:val="00BE4FFC"/>
    <w:rsid w:val="00BE5ED3"/>
    <w:rsid w:val="00BE7017"/>
    <w:rsid w:val="00BE77EF"/>
    <w:rsid w:val="00BF0DA9"/>
    <w:rsid w:val="00BF0FC6"/>
    <w:rsid w:val="00C00AA7"/>
    <w:rsid w:val="00C00B38"/>
    <w:rsid w:val="00C00E4E"/>
    <w:rsid w:val="00C05D75"/>
    <w:rsid w:val="00C068DC"/>
    <w:rsid w:val="00C07617"/>
    <w:rsid w:val="00C12262"/>
    <w:rsid w:val="00C13989"/>
    <w:rsid w:val="00C14950"/>
    <w:rsid w:val="00C16EC8"/>
    <w:rsid w:val="00C20B91"/>
    <w:rsid w:val="00C20C54"/>
    <w:rsid w:val="00C24393"/>
    <w:rsid w:val="00C25C49"/>
    <w:rsid w:val="00C27C4A"/>
    <w:rsid w:val="00C355D6"/>
    <w:rsid w:val="00C36D08"/>
    <w:rsid w:val="00C42F74"/>
    <w:rsid w:val="00C44A52"/>
    <w:rsid w:val="00C66855"/>
    <w:rsid w:val="00C70956"/>
    <w:rsid w:val="00C75F5F"/>
    <w:rsid w:val="00C807C1"/>
    <w:rsid w:val="00C81D11"/>
    <w:rsid w:val="00C82978"/>
    <w:rsid w:val="00C8297E"/>
    <w:rsid w:val="00C84E55"/>
    <w:rsid w:val="00C853CA"/>
    <w:rsid w:val="00C90628"/>
    <w:rsid w:val="00C91E5B"/>
    <w:rsid w:val="00C92123"/>
    <w:rsid w:val="00C92EAC"/>
    <w:rsid w:val="00C95137"/>
    <w:rsid w:val="00CB2DBF"/>
    <w:rsid w:val="00CB63F4"/>
    <w:rsid w:val="00CB7498"/>
    <w:rsid w:val="00CC118C"/>
    <w:rsid w:val="00CC1399"/>
    <w:rsid w:val="00CC6257"/>
    <w:rsid w:val="00CC6E18"/>
    <w:rsid w:val="00CD0280"/>
    <w:rsid w:val="00CD4E84"/>
    <w:rsid w:val="00CD7715"/>
    <w:rsid w:val="00CD7991"/>
    <w:rsid w:val="00CE10AA"/>
    <w:rsid w:val="00CE2D10"/>
    <w:rsid w:val="00CE5F29"/>
    <w:rsid w:val="00CE77BD"/>
    <w:rsid w:val="00CF0130"/>
    <w:rsid w:val="00CF1205"/>
    <w:rsid w:val="00CF142A"/>
    <w:rsid w:val="00CF1A9A"/>
    <w:rsid w:val="00CF4729"/>
    <w:rsid w:val="00CF7117"/>
    <w:rsid w:val="00D0068C"/>
    <w:rsid w:val="00D0285E"/>
    <w:rsid w:val="00D04A3B"/>
    <w:rsid w:val="00D04B5B"/>
    <w:rsid w:val="00D077F6"/>
    <w:rsid w:val="00D13C06"/>
    <w:rsid w:val="00D149B3"/>
    <w:rsid w:val="00D2198E"/>
    <w:rsid w:val="00D31070"/>
    <w:rsid w:val="00D32637"/>
    <w:rsid w:val="00D35F55"/>
    <w:rsid w:val="00D36D00"/>
    <w:rsid w:val="00D43506"/>
    <w:rsid w:val="00D456A1"/>
    <w:rsid w:val="00D47C83"/>
    <w:rsid w:val="00D52FB4"/>
    <w:rsid w:val="00D609E2"/>
    <w:rsid w:val="00D6115C"/>
    <w:rsid w:val="00D61B96"/>
    <w:rsid w:val="00D61D44"/>
    <w:rsid w:val="00D63671"/>
    <w:rsid w:val="00D63F20"/>
    <w:rsid w:val="00D66B55"/>
    <w:rsid w:val="00D67039"/>
    <w:rsid w:val="00D71429"/>
    <w:rsid w:val="00D71D0C"/>
    <w:rsid w:val="00D7702A"/>
    <w:rsid w:val="00D7740E"/>
    <w:rsid w:val="00D77EE2"/>
    <w:rsid w:val="00D8175C"/>
    <w:rsid w:val="00D82403"/>
    <w:rsid w:val="00D93E61"/>
    <w:rsid w:val="00DA0DEE"/>
    <w:rsid w:val="00DB0B5D"/>
    <w:rsid w:val="00DB2538"/>
    <w:rsid w:val="00DB5E34"/>
    <w:rsid w:val="00DB6808"/>
    <w:rsid w:val="00DB7A98"/>
    <w:rsid w:val="00DC25A0"/>
    <w:rsid w:val="00DC7539"/>
    <w:rsid w:val="00DD1C15"/>
    <w:rsid w:val="00DD5180"/>
    <w:rsid w:val="00DE2670"/>
    <w:rsid w:val="00DE3B69"/>
    <w:rsid w:val="00DF0B2D"/>
    <w:rsid w:val="00DF5A53"/>
    <w:rsid w:val="00DF63F4"/>
    <w:rsid w:val="00DF7957"/>
    <w:rsid w:val="00E01D09"/>
    <w:rsid w:val="00E03862"/>
    <w:rsid w:val="00E06844"/>
    <w:rsid w:val="00E078F1"/>
    <w:rsid w:val="00E110C4"/>
    <w:rsid w:val="00E12FF6"/>
    <w:rsid w:val="00E1493A"/>
    <w:rsid w:val="00E154DD"/>
    <w:rsid w:val="00E17073"/>
    <w:rsid w:val="00E17667"/>
    <w:rsid w:val="00E2204A"/>
    <w:rsid w:val="00E224C5"/>
    <w:rsid w:val="00E22851"/>
    <w:rsid w:val="00E261BE"/>
    <w:rsid w:val="00E30193"/>
    <w:rsid w:val="00E327A4"/>
    <w:rsid w:val="00E32F63"/>
    <w:rsid w:val="00E33E23"/>
    <w:rsid w:val="00E34F72"/>
    <w:rsid w:val="00E36C6C"/>
    <w:rsid w:val="00E45583"/>
    <w:rsid w:val="00E4698B"/>
    <w:rsid w:val="00E46A4A"/>
    <w:rsid w:val="00E505E6"/>
    <w:rsid w:val="00E57572"/>
    <w:rsid w:val="00E63ECE"/>
    <w:rsid w:val="00E649DB"/>
    <w:rsid w:val="00E71217"/>
    <w:rsid w:val="00E74913"/>
    <w:rsid w:val="00E77588"/>
    <w:rsid w:val="00E80816"/>
    <w:rsid w:val="00E80932"/>
    <w:rsid w:val="00E82893"/>
    <w:rsid w:val="00E8702E"/>
    <w:rsid w:val="00E92935"/>
    <w:rsid w:val="00E93315"/>
    <w:rsid w:val="00E9396E"/>
    <w:rsid w:val="00E962EE"/>
    <w:rsid w:val="00E97D52"/>
    <w:rsid w:val="00EA27CD"/>
    <w:rsid w:val="00EA27D4"/>
    <w:rsid w:val="00EA2D72"/>
    <w:rsid w:val="00EA34A0"/>
    <w:rsid w:val="00EA37C3"/>
    <w:rsid w:val="00EB19C2"/>
    <w:rsid w:val="00EB3291"/>
    <w:rsid w:val="00EB3A44"/>
    <w:rsid w:val="00EB3D46"/>
    <w:rsid w:val="00EB3FC8"/>
    <w:rsid w:val="00EB52BE"/>
    <w:rsid w:val="00EB6CF4"/>
    <w:rsid w:val="00EB784A"/>
    <w:rsid w:val="00EB7BE9"/>
    <w:rsid w:val="00EB7DE9"/>
    <w:rsid w:val="00EC1040"/>
    <w:rsid w:val="00EC272F"/>
    <w:rsid w:val="00EC2DCF"/>
    <w:rsid w:val="00EC79D0"/>
    <w:rsid w:val="00ED1827"/>
    <w:rsid w:val="00ED245D"/>
    <w:rsid w:val="00ED4B41"/>
    <w:rsid w:val="00ED4BB6"/>
    <w:rsid w:val="00ED511A"/>
    <w:rsid w:val="00ED58C7"/>
    <w:rsid w:val="00EE2676"/>
    <w:rsid w:val="00EE2747"/>
    <w:rsid w:val="00EF22D1"/>
    <w:rsid w:val="00EF28B2"/>
    <w:rsid w:val="00EF53E0"/>
    <w:rsid w:val="00EF5E8F"/>
    <w:rsid w:val="00EF66A1"/>
    <w:rsid w:val="00EF694C"/>
    <w:rsid w:val="00EF71E8"/>
    <w:rsid w:val="00F06A03"/>
    <w:rsid w:val="00F10A56"/>
    <w:rsid w:val="00F11020"/>
    <w:rsid w:val="00F12A3B"/>
    <w:rsid w:val="00F132CC"/>
    <w:rsid w:val="00F143AB"/>
    <w:rsid w:val="00F1794A"/>
    <w:rsid w:val="00F21F02"/>
    <w:rsid w:val="00F23484"/>
    <w:rsid w:val="00F24372"/>
    <w:rsid w:val="00F24CA3"/>
    <w:rsid w:val="00F25EBC"/>
    <w:rsid w:val="00F26969"/>
    <w:rsid w:val="00F2720F"/>
    <w:rsid w:val="00F302F8"/>
    <w:rsid w:val="00F32D0C"/>
    <w:rsid w:val="00F414B8"/>
    <w:rsid w:val="00F4391F"/>
    <w:rsid w:val="00F44BB1"/>
    <w:rsid w:val="00F466B2"/>
    <w:rsid w:val="00F56990"/>
    <w:rsid w:val="00F60F92"/>
    <w:rsid w:val="00F63088"/>
    <w:rsid w:val="00F66381"/>
    <w:rsid w:val="00F666ED"/>
    <w:rsid w:val="00F67D05"/>
    <w:rsid w:val="00F713D7"/>
    <w:rsid w:val="00F85A42"/>
    <w:rsid w:val="00F8657F"/>
    <w:rsid w:val="00F86938"/>
    <w:rsid w:val="00F87BD7"/>
    <w:rsid w:val="00F91A60"/>
    <w:rsid w:val="00F92167"/>
    <w:rsid w:val="00F92C50"/>
    <w:rsid w:val="00F94818"/>
    <w:rsid w:val="00F97887"/>
    <w:rsid w:val="00FA24CA"/>
    <w:rsid w:val="00FA307D"/>
    <w:rsid w:val="00FA613A"/>
    <w:rsid w:val="00FA71C3"/>
    <w:rsid w:val="00FB0887"/>
    <w:rsid w:val="00FB240E"/>
    <w:rsid w:val="00FC2617"/>
    <w:rsid w:val="00FC6B83"/>
    <w:rsid w:val="00FD481B"/>
    <w:rsid w:val="00FD51CD"/>
    <w:rsid w:val="00FD52F2"/>
    <w:rsid w:val="00FD633C"/>
    <w:rsid w:val="00FE0184"/>
    <w:rsid w:val="00FE068F"/>
    <w:rsid w:val="00FE3FD2"/>
    <w:rsid w:val="00FE67FF"/>
    <w:rsid w:val="00FF02BA"/>
    <w:rsid w:val="00FF2B25"/>
    <w:rsid w:val="00FF39EF"/>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0BC8"/>
  <w15:docId w15:val="{A1087E20-C106-459F-9CD3-F5C13C86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43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5243E"/>
    <w:pPr>
      <w:keepNext/>
      <w:spacing w:before="240" w:after="60"/>
      <w:outlineLvl w:val="0"/>
    </w:pPr>
    <w:rPr>
      <w:rFonts w:ascii="Arial" w:hAnsi="Arial" w:cs="Arial"/>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243E"/>
    <w:rPr>
      <w:rFonts w:ascii="Arial" w:eastAsia="Times New Roman" w:hAnsi="Arial" w:cs="Arial"/>
      <w:b/>
      <w:bCs/>
      <w:kern w:val="32"/>
      <w:sz w:val="32"/>
      <w:szCs w:val="32"/>
    </w:rPr>
  </w:style>
  <w:style w:type="paragraph" w:styleId="a3">
    <w:name w:val="footer"/>
    <w:basedOn w:val="a"/>
    <w:link w:val="a4"/>
    <w:uiPriority w:val="99"/>
    <w:rsid w:val="0065243E"/>
    <w:pPr>
      <w:tabs>
        <w:tab w:val="center" w:pos="4677"/>
        <w:tab w:val="right" w:pos="9355"/>
      </w:tabs>
    </w:pPr>
  </w:style>
  <w:style w:type="character" w:customStyle="1" w:styleId="a4">
    <w:name w:val="Нижний колонтитул Знак"/>
    <w:basedOn w:val="a0"/>
    <w:link w:val="a3"/>
    <w:uiPriority w:val="99"/>
    <w:rsid w:val="0065243E"/>
    <w:rPr>
      <w:rFonts w:ascii="Times New Roman" w:eastAsia="Times New Roman" w:hAnsi="Times New Roman" w:cs="Times New Roman"/>
      <w:sz w:val="24"/>
      <w:szCs w:val="24"/>
      <w:lang w:val="ru-RU" w:eastAsia="ru-RU"/>
    </w:rPr>
  </w:style>
  <w:style w:type="character" w:styleId="a5">
    <w:name w:val="Hyperlink"/>
    <w:rsid w:val="0065243E"/>
    <w:rPr>
      <w:color w:val="0000FF"/>
      <w:u w:val="single"/>
    </w:rPr>
  </w:style>
  <w:style w:type="paragraph" w:customStyle="1" w:styleId="Armenian">
    <w:name w:val="Armenian"/>
    <w:basedOn w:val="a"/>
    <w:rsid w:val="0065243E"/>
    <w:rPr>
      <w:rFonts w:ascii="Agg_Times1" w:hAnsi="Agg_Times1"/>
      <w:szCs w:val="20"/>
      <w:lang w:val="en-GB" w:eastAsia="en-US"/>
    </w:rPr>
  </w:style>
  <w:style w:type="paragraph" w:styleId="a6">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basedOn w:val="a"/>
    <w:uiPriority w:val="99"/>
    <w:qFormat/>
    <w:rsid w:val="0065243E"/>
    <w:pPr>
      <w:spacing w:before="100" w:beforeAutospacing="1" w:after="100" w:afterAutospacing="1"/>
    </w:pPr>
  </w:style>
  <w:style w:type="character" w:styleId="a7">
    <w:name w:val="Strong"/>
    <w:uiPriority w:val="22"/>
    <w:qFormat/>
    <w:rsid w:val="0065243E"/>
    <w:rPr>
      <w:b/>
      <w:bCs/>
    </w:rPr>
  </w:style>
  <w:style w:type="paragraph" w:styleId="a8">
    <w:name w:val="footnote text"/>
    <w:basedOn w:val="a"/>
    <w:link w:val="a9"/>
    <w:uiPriority w:val="99"/>
    <w:unhideWhenUsed/>
    <w:rsid w:val="0065243E"/>
    <w:rPr>
      <w:sz w:val="20"/>
      <w:szCs w:val="20"/>
      <w:lang w:val="hy-AM" w:eastAsia="en-US"/>
    </w:rPr>
  </w:style>
  <w:style w:type="character" w:customStyle="1" w:styleId="a9">
    <w:name w:val="Текст сноски Знак"/>
    <w:basedOn w:val="a0"/>
    <w:link w:val="a8"/>
    <w:uiPriority w:val="99"/>
    <w:rsid w:val="0065243E"/>
    <w:rPr>
      <w:rFonts w:ascii="Times New Roman" w:eastAsia="Times New Roman" w:hAnsi="Times New Roman" w:cs="Times New Roman"/>
      <w:sz w:val="20"/>
      <w:szCs w:val="20"/>
      <w:lang w:val="hy-AM"/>
    </w:rPr>
  </w:style>
  <w:style w:type="character" w:styleId="aa">
    <w:name w:val="footnote reference"/>
    <w:uiPriority w:val="99"/>
    <w:unhideWhenUsed/>
    <w:rsid w:val="0065243E"/>
    <w:rPr>
      <w:vertAlign w:val="superscript"/>
    </w:rPr>
  </w:style>
  <w:style w:type="character" w:customStyle="1" w:styleId="s7d2086b4">
    <w:name w:val="s7d2086b4"/>
    <w:basedOn w:val="a0"/>
    <w:rsid w:val="0065243E"/>
  </w:style>
  <w:style w:type="character" w:styleId="ab">
    <w:name w:val="Emphasis"/>
    <w:basedOn w:val="a0"/>
    <w:uiPriority w:val="20"/>
    <w:qFormat/>
    <w:rsid w:val="0065243E"/>
    <w:rPr>
      <w:i/>
      <w:iCs/>
    </w:rPr>
  </w:style>
  <w:style w:type="paragraph" w:styleId="ac">
    <w:name w:val="header"/>
    <w:basedOn w:val="a"/>
    <w:link w:val="ad"/>
    <w:uiPriority w:val="99"/>
    <w:unhideWhenUsed/>
    <w:rsid w:val="0065243E"/>
    <w:pPr>
      <w:tabs>
        <w:tab w:val="center" w:pos="4680"/>
        <w:tab w:val="right" w:pos="9360"/>
      </w:tabs>
    </w:pPr>
  </w:style>
  <w:style w:type="character" w:customStyle="1" w:styleId="ad">
    <w:name w:val="Верхний колонтитул Знак"/>
    <w:basedOn w:val="a0"/>
    <w:link w:val="ac"/>
    <w:uiPriority w:val="99"/>
    <w:rsid w:val="0065243E"/>
    <w:rPr>
      <w:rFonts w:ascii="Times New Roman" w:eastAsia="Times New Roman" w:hAnsi="Times New Roman" w:cs="Times New Roman"/>
      <w:sz w:val="24"/>
      <w:szCs w:val="24"/>
      <w:lang w:val="ru-RU" w:eastAsia="ru-RU"/>
    </w:rPr>
  </w:style>
  <w:style w:type="paragraph" w:styleId="ae">
    <w:name w:val="Balloon Text"/>
    <w:basedOn w:val="a"/>
    <w:link w:val="af"/>
    <w:uiPriority w:val="99"/>
    <w:semiHidden/>
    <w:unhideWhenUsed/>
    <w:rsid w:val="007B684B"/>
    <w:rPr>
      <w:rFonts w:ascii="Tahoma" w:hAnsi="Tahoma" w:cs="Tahoma"/>
      <w:sz w:val="16"/>
      <w:szCs w:val="16"/>
    </w:rPr>
  </w:style>
  <w:style w:type="character" w:customStyle="1" w:styleId="af">
    <w:name w:val="Текст выноски Знак"/>
    <w:basedOn w:val="a0"/>
    <w:link w:val="ae"/>
    <w:uiPriority w:val="99"/>
    <w:semiHidden/>
    <w:rsid w:val="007B684B"/>
    <w:rPr>
      <w:rFonts w:ascii="Tahoma" w:eastAsia="Times New Roman" w:hAnsi="Tahoma" w:cs="Tahoma"/>
      <w:sz w:val="16"/>
      <w:szCs w:val="16"/>
      <w:lang w:val="ru-RU" w:eastAsia="ru-RU"/>
    </w:rPr>
  </w:style>
  <w:style w:type="character" w:styleId="af0">
    <w:name w:val="annotation reference"/>
    <w:basedOn w:val="a0"/>
    <w:uiPriority w:val="99"/>
    <w:semiHidden/>
    <w:unhideWhenUsed/>
    <w:rsid w:val="007B684B"/>
    <w:rPr>
      <w:sz w:val="16"/>
      <w:szCs w:val="16"/>
    </w:rPr>
  </w:style>
  <w:style w:type="paragraph" w:styleId="af1">
    <w:name w:val="annotation text"/>
    <w:basedOn w:val="a"/>
    <w:link w:val="af2"/>
    <w:uiPriority w:val="99"/>
    <w:semiHidden/>
    <w:unhideWhenUsed/>
    <w:rsid w:val="007B684B"/>
    <w:rPr>
      <w:sz w:val="20"/>
      <w:szCs w:val="20"/>
    </w:rPr>
  </w:style>
  <w:style w:type="character" w:customStyle="1" w:styleId="af2">
    <w:name w:val="Текст примечания Знак"/>
    <w:basedOn w:val="a0"/>
    <w:link w:val="af1"/>
    <w:uiPriority w:val="99"/>
    <w:semiHidden/>
    <w:rsid w:val="007B684B"/>
    <w:rPr>
      <w:rFonts w:ascii="Times New Roman" w:eastAsia="Times New Roman" w:hAnsi="Times New Roman" w:cs="Times New Roman"/>
      <w:sz w:val="20"/>
      <w:szCs w:val="20"/>
      <w:lang w:val="ru-RU" w:eastAsia="ru-RU"/>
    </w:rPr>
  </w:style>
  <w:style w:type="paragraph" w:styleId="af3">
    <w:name w:val="annotation subject"/>
    <w:basedOn w:val="af1"/>
    <w:next w:val="af1"/>
    <w:link w:val="af4"/>
    <w:uiPriority w:val="99"/>
    <w:semiHidden/>
    <w:unhideWhenUsed/>
    <w:rsid w:val="007B684B"/>
    <w:rPr>
      <w:b/>
      <w:bCs/>
    </w:rPr>
  </w:style>
  <w:style w:type="character" w:customStyle="1" w:styleId="af4">
    <w:name w:val="Тема примечания Знак"/>
    <w:basedOn w:val="af2"/>
    <w:link w:val="af3"/>
    <w:uiPriority w:val="99"/>
    <w:semiHidden/>
    <w:rsid w:val="007B684B"/>
    <w:rPr>
      <w:rFonts w:ascii="Times New Roman" w:eastAsia="Times New Roman" w:hAnsi="Times New Roman" w:cs="Times New Roman"/>
      <w:b/>
      <w:bCs/>
      <w:sz w:val="20"/>
      <w:szCs w:val="20"/>
      <w:lang w:val="ru-RU" w:eastAsia="ru-RU"/>
    </w:rPr>
  </w:style>
  <w:style w:type="paragraph" w:styleId="af5">
    <w:name w:val="Revision"/>
    <w:hidden/>
    <w:uiPriority w:val="99"/>
    <w:semiHidden/>
    <w:rsid w:val="00C92123"/>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xology.com/library/detail.aspx?g=cf2f8fbc-c47d-4658-9437-65fa0c795883" TargetMode="External"/><Relationship Id="rId2" Type="http://schemas.openxmlformats.org/officeDocument/2006/relationships/hyperlink" Target="https://www.gov.uk/government/publications/covid-19-vaccination-guide-for-employers/covid-19-vaccination-guide-for-employers" TargetMode="External"/><Relationship Id="rId1" Type="http://schemas.openxmlformats.org/officeDocument/2006/relationships/hyperlink" Target="https://www.reuters.com/world/countries-make-covid-19-vaccines-mandatory-2021-07-1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472279260780309"/>
          <c:y val="5.5727554179566874E-2"/>
          <c:w val="0.61396303901437665"/>
          <c:h val="0.75851393188854488"/>
        </c:manualLayout>
      </c:layout>
      <c:bar3DChart>
        <c:barDir val="col"/>
        <c:grouping val="clustered"/>
        <c:varyColors val="0"/>
        <c:ser>
          <c:idx val="0"/>
          <c:order val="0"/>
          <c:tx>
            <c:strRef>
              <c:f>Sheet1!$A$2</c:f>
              <c:strCache>
                <c:ptCount val="1"/>
                <c:pt idx="0">
                  <c:v>Վարակվածներ</c:v>
                </c:pt>
              </c:strCache>
            </c:strRef>
          </c:tx>
          <c:spPr>
            <a:solidFill>
              <a:srgbClr val="9999FF"/>
            </a:solidFill>
            <a:ln w="12685">
              <a:solidFill>
                <a:srgbClr val="000000"/>
              </a:solidFill>
              <a:prstDash val="solid"/>
            </a:ln>
          </c:spPr>
          <c:invertIfNegative val="0"/>
          <c:cat>
            <c:strRef>
              <c:f>Sheet1!$B$1:$E$1</c:f>
              <c:strCache>
                <c:ptCount val="4"/>
                <c:pt idx="0">
                  <c:v>1-ին շաբաթ</c:v>
                </c:pt>
                <c:pt idx="1">
                  <c:v>2-րդ շաբաթ</c:v>
                </c:pt>
                <c:pt idx="2">
                  <c:v>3-րդ շաբաթ</c:v>
                </c:pt>
                <c:pt idx="3">
                  <c:v>4-րդ շաբաթ</c:v>
                </c:pt>
              </c:strCache>
            </c:strRef>
          </c:cat>
          <c:val>
            <c:numRef>
              <c:f>Sheet1!$B$2:$E$2</c:f>
              <c:numCache>
                <c:formatCode>General</c:formatCode>
                <c:ptCount val="4"/>
                <c:pt idx="0">
                  <c:v>1818</c:v>
                </c:pt>
                <c:pt idx="1">
                  <c:v>2401</c:v>
                </c:pt>
                <c:pt idx="2">
                  <c:v>3076</c:v>
                </c:pt>
                <c:pt idx="3">
                  <c:v>3702</c:v>
                </c:pt>
              </c:numCache>
            </c:numRef>
          </c:val>
          <c:extLst>
            <c:ext xmlns:c16="http://schemas.microsoft.com/office/drawing/2014/chart" uri="{C3380CC4-5D6E-409C-BE32-E72D297353CC}">
              <c16:uniqueId val="{00000000-6214-4EE5-8B5C-D2C64323A12B}"/>
            </c:ext>
          </c:extLst>
        </c:ser>
        <c:ser>
          <c:idx val="1"/>
          <c:order val="1"/>
          <c:tx>
            <c:strRef>
              <c:f>Sheet1!$A$3</c:f>
              <c:strCache>
                <c:ptCount val="1"/>
                <c:pt idx="0">
                  <c:v>Մահեր</c:v>
                </c:pt>
              </c:strCache>
            </c:strRef>
          </c:tx>
          <c:spPr>
            <a:solidFill>
              <a:srgbClr val="993366"/>
            </a:solidFill>
            <a:ln w="12685">
              <a:solidFill>
                <a:srgbClr val="000000"/>
              </a:solidFill>
              <a:prstDash val="solid"/>
            </a:ln>
          </c:spPr>
          <c:invertIfNegative val="0"/>
          <c:cat>
            <c:strRef>
              <c:f>Sheet1!$B$1:$E$1</c:f>
              <c:strCache>
                <c:ptCount val="4"/>
                <c:pt idx="0">
                  <c:v>1-ին շաբաթ</c:v>
                </c:pt>
                <c:pt idx="1">
                  <c:v>2-րդ շաբաթ</c:v>
                </c:pt>
                <c:pt idx="2">
                  <c:v>3-րդ շաբաթ</c:v>
                </c:pt>
                <c:pt idx="3">
                  <c:v>4-րդ շաբաթ</c:v>
                </c:pt>
              </c:strCache>
            </c:strRef>
          </c:cat>
          <c:val>
            <c:numRef>
              <c:f>Sheet1!$B$3:$E$3</c:f>
              <c:numCache>
                <c:formatCode>General</c:formatCode>
                <c:ptCount val="4"/>
                <c:pt idx="0">
                  <c:v>31</c:v>
                </c:pt>
                <c:pt idx="1">
                  <c:v>45</c:v>
                </c:pt>
                <c:pt idx="2">
                  <c:v>57</c:v>
                </c:pt>
                <c:pt idx="3">
                  <c:v>71</c:v>
                </c:pt>
              </c:numCache>
            </c:numRef>
          </c:val>
          <c:extLst>
            <c:ext xmlns:c16="http://schemas.microsoft.com/office/drawing/2014/chart" uri="{C3380CC4-5D6E-409C-BE32-E72D297353CC}">
              <c16:uniqueId val="{00000001-6214-4EE5-8B5C-D2C64323A12B}"/>
            </c:ext>
          </c:extLst>
        </c:ser>
        <c:dLbls>
          <c:showLegendKey val="0"/>
          <c:showVal val="0"/>
          <c:showCatName val="0"/>
          <c:showSerName val="0"/>
          <c:showPercent val="0"/>
          <c:showBubbleSize val="0"/>
        </c:dLbls>
        <c:gapWidth val="150"/>
        <c:gapDepth val="0"/>
        <c:shape val="box"/>
        <c:axId val="45200512"/>
        <c:axId val="45202048"/>
        <c:axId val="0"/>
      </c:bar3DChart>
      <c:catAx>
        <c:axId val="45200512"/>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999" b="1" i="0" u="none" strike="noStrike" baseline="0">
                <a:solidFill>
                  <a:srgbClr val="000000"/>
                </a:solidFill>
                <a:latin typeface="GHEA Grapalat"/>
                <a:ea typeface="GHEA Grapalat"/>
                <a:cs typeface="GHEA Grapalat"/>
              </a:defRPr>
            </a:pPr>
            <a:endParaRPr lang="ru-RU"/>
          </a:p>
        </c:txPr>
        <c:crossAx val="45202048"/>
        <c:crosses val="autoZero"/>
        <c:auto val="1"/>
        <c:lblAlgn val="ctr"/>
        <c:lblOffset val="100"/>
        <c:tickLblSkip val="1"/>
        <c:tickMarkSkip val="1"/>
        <c:noMultiLvlLbl val="0"/>
      </c:catAx>
      <c:valAx>
        <c:axId val="45202048"/>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999" b="1" i="0" u="none" strike="noStrike" baseline="0">
                <a:solidFill>
                  <a:srgbClr val="000000"/>
                </a:solidFill>
                <a:latin typeface="GHEA Grapalat"/>
                <a:ea typeface="GHEA Grapalat"/>
                <a:cs typeface="GHEA Grapalat"/>
              </a:defRPr>
            </a:pPr>
            <a:endParaRPr lang="ru-RU"/>
          </a:p>
        </c:txPr>
        <c:crossAx val="45200512"/>
        <c:crosses val="autoZero"/>
        <c:crossBetween val="between"/>
      </c:valAx>
      <c:spPr>
        <a:noFill/>
        <a:ln w="25369">
          <a:noFill/>
        </a:ln>
      </c:spPr>
    </c:plotArea>
    <c:legend>
      <c:legendPos val="r"/>
      <c:layout>
        <c:manualLayout>
          <c:xMode val="edge"/>
          <c:yMode val="edge"/>
          <c:x val="0.7412731006160167"/>
          <c:y val="0.43034055727554643"/>
          <c:w val="0.22736771896275318"/>
          <c:h val="0.14498226807638348"/>
        </c:manualLayout>
      </c:layout>
      <c:overlay val="0"/>
      <c:spPr>
        <a:noFill/>
        <a:ln w="3171">
          <a:solidFill>
            <a:srgbClr val="000000"/>
          </a:solidFill>
          <a:prstDash val="solid"/>
        </a:ln>
      </c:spPr>
      <c:txPr>
        <a:bodyPr/>
        <a:lstStyle/>
        <a:p>
          <a:pPr>
            <a:defRPr sz="919" b="1" i="0" u="none" strike="noStrike" baseline="0">
              <a:solidFill>
                <a:srgbClr val="000000"/>
              </a:solidFill>
              <a:latin typeface="GHEA Grapalat"/>
              <a:ea typeface="GHEA Grapalat"/>
              <a:cs typeface="GHEA Grapalat"/>
            </a:defRPr>
          </a:pPr>
          <a:endParaRPr lang="ru-RU"/>
        </a:p>
      </c:txPr>
    </c:legend>
    <c:plotVisOnly val="1"/>
    <c:dispBlanksAs val="gap"/>
    <c:showDLblsOverMax val="0"/>
  </c:chart>
  <c:spPr>
    <a:noFill/>
    <a:ln>
      <a:noFill/>
    </a:ln>
  </c:spPr>
  <c:txPr>
    <a:bodyPr/>
    <a:lstStyle/>
    <a:p>
      <a:pPr>
        <a:defRPr sz="999" b="1" i="0" u="none" strike="noStrike" baseline="0">
          <a:solidFill>
            <a:srgbClr val="000000"/>
          </a:solidFill>
          <a:latin typeface="GHEA Grapalat"/>
          <a:ea typeface="GHEA Grapalat"/>
          <a:cs typeface="GHEA Grapalat"/>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472279260780309"/>
          <c:y val="5.5727554179566721E-2"/>
          <c:w val="0.61396303901437665"/>
          <c:h val="0.75851393188854488"/>
        </c:manualLayout>
      </c:layout>
      <c:bar3DChart>
        <c:barDir val="col"/>
        <c:grouping val="clustered"/>
        <c:varyColors val="0"/>
        <c:ser>
          <c:idx val="0"/>
          <c:order val="0"/>
          <c:tx>
            <c:strRef>
              <c:f>Sheet1!$A$2</c:f>
              <c:strCache>
                <c:ptCount val="1"/>
                <c:pt idx="0">
                  <c:v>Վարակվածներ</c:v>
                </c:pt>
              </c:strCache>
            </c:strRef>
          </c:tx>
          <c:spPr>
            <a:solidFill>
              <a:srgbClr val="9999FF"/>
            </a:solidFill>
            <a:ln w="12685">
              <a:solidFill>
                <a:srgbClr val="000000"/>
              </a:solidFill>
              <a:prstDash val="solid"/>
            </a:ln>
          </c:spPr>
          <c:invertIfNegative val="0"/>
          <c:cat>
            <c:strRef>
              <c:f>Sheet1!$B$1:$E$1</c:f>
              <c:strCache>
                <c:ptCount val="4"/>
                <c:pt idx="0">
                  <c:v>1-ին շաբաթ</c:v>
                </c:pt>
                <c:pt idx="1">
                  <c:v>2-րդ շաբաթ</c:v>
                </c:pt>
                <c:pt idx="2">
                  <c:v>3-րդ շաբաթ</c:v>
                </c:pt>
                <c:pt idx="3">
                  <c:v>4-րդ շաբաթ</c:v>
                </c:pt>
              </c:strCache>
            </c:strRef>
          </c:cat>
          <c:val>
            <c:numRef>
              <c:f>Sheet1!$B$2:$E$2</c:f>
              <c:numCache>
                <c:formatCode>General</c:formatCode>
                <c:ptCount val="4"/>
                <c:pt idx="0">
                  <c:v>3414</c:v>
                </c:pt>
                <c:pt idx="1">
                  <c:v>3825</c:v>
                </c:pt>
                <c:pt idx="2">
                  <c:v>4750</c:v>
                </c:pt>
                <c:pt idx="3">
                  <c:v>5407</c:v>
                </c:pt>
              </c:numCache>
            </c:numRef>
          </c:val>
          <c:extLst>
            <c:ext xmlns:c16="http://schemas.microsoft.com/office/drawing/2014/chart" uri="{C3380CC4-5D6E-409C-BE32-E72D297353CC}">
              <c16:uniqueId val="{00000000-0FE5-9943-8E3F-9A455F9FE335}"/>
            </c:ext>
          </c:extLst>
        </c:ser>
        <c:ser>
          <c:idx val="1"/>
          <c:order val="1"/>
          <c:tx>
            <c:strRef>
              <c:f>Sheet1!$A$3</c:f>
              <c:strCache>
                <c:ptCount val="1"/>
                <c:pt idx="0">
                  <c:v>Մահեր</c:v>
                </c:pt>
              </c:strCache>
            </c:strRef>
          </c:tx>
          <c:spPr>
            <a:solidFill>
              <a:srgbClr val="993366"/>
            </a:solidFill>
            <a:ln w="12685">
              <a:solidFill>
                <a:srgbClr val="000000"/>
              </a:solidFill>
              <a:prstDash val="solid"/>
            </a:ln>
          </c:spPr>
          <c:invertIfNegative val="0"/>
          <c:cat>
            <c:strRef>
              <c:f>Sheet1!$B$1:$E$1</c:f>
              <c:strCache>
                <c:ptCount val="4"/>
                <c:pt idx="0">
                  <c:v>1-ին շաբաթ</c:v>
                </c:pt>
                <c:pt idx="1">
                  <c:v>2-րդ շաբաթ</c:v>
                </c:pt>
                <c:pt idx="2">
                  <c:v>3-րդ շաբաթ</c:v>
                </c:pt>
                <c:pt idx="3">
                  <c:v>4-րդ շաբաթ</c:v>
                </c:pt>
              </c:strCache>
            </c:strRef>
          </c:cat>
          <c:val>
            <c:numRef>
              <c:f>Sheet1!$B$3:$E$3</c:f>
              <c:numCache>
                <c:formatCode>General</c:formatCode>
                <c:ptCount val="4"/>
                <c:pt idx="0">
                  <c:v>81</c:v>
                </c:pt>
                <c:pt idx="1">
                  <c:v>91</c:v>
                </c:pt>
                <c:pt idx="2">
                  <c:v>129</c:v>
                </c:pt>
                <c:pt idx="3">
                  <c:v>71</c:v>
                </c:pt>
              </c:numCache>
            </c:numRef>
          </c:val>
          <c:extLst>
            <c:ext xmlns:c16="http://schemas.microsoft.com/office/drawing/2014/chart" uri="{C3380CC4-5D6E-409C-BE32-E72D297353CC}">
              <c16:uniqueId val="{00000001-0FE5-9943-8E3F-9A455F9FE335}"/>
            </c:ext>
          </c:extLst>
        </c:ser>
        <c:dLbls>
          <c:showLegendKey val="0"/>
          <c:showVal val="0"/>
          <c:showCatName val="0"/>
          <c:showSerName val="0"/>
          <c:showPercent val="0"/>
          <c:showBubbleSize val="0"/>
        </c:dLbls>
        <c:gapWidth val="150"/>
        <c:gapDepth val="0"/>
        <c:shape val="box"/>
        <c:axId val="60070144"/>
        <c:axId val="60080128"/>
        <c:axId val="0"/>
      </c:bar3DChart>
      <c:catAx>
        <c:axId val="60070144"/>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999" b="1" i="0" u="none" strike="noStrike" baseline="0">
                <a:solidFill>
                  <a:srgbClr val="000000"/>
                </a:solidFill>
                <a:latin typeface="GHEA Grapalat"/>
                <a:ea typeface="GHEA Grapalat"/>
                <a:cs typeface="GHEA Grapalat"/>
              </a:defRPr>
            </a:pPr>
            <a:endParaRPr lang="ru-RU"/>
          </a:p>
        </c:txPr>
        <c:crossAx val="60080128"/>
        <c:crosses val="autoZero"/>
        <c:auto val="1"/>
        <c:lblAlgn val="ctr"/>
        <c:lblOffset val="100"/>
        <c:tickLblSkip val="1"/>
        <c:tickMarkSkip val="1"/>
        <c:noMultiLvlLbl val="0"/>
      </c:catAx>
      <c:valAx>
        <c:axId val="60080128"/>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999" b="1" i="0" u="none" strike="noStrike" baseline="0">
                <a:solidFill>
                  <a:srgbClr val="000000"/>
                </a:solidFill>
                <a:latin typeface="GHEA Grapalat"/>
                <a:ea typeface="GHEA Grapalat"/>
                <a:cs typeface="GHEA Grapalat"/>
              </a:defRPr>
            </a:pPr>
            <a:endParaRPr lang="ru-RU"/>
          </a:p>
        </c:txPr>
        <c:crossAx val="60070144"/>
        <c:crosses val="autoZero"/>
        <c:crossBetween val="between"/>
      </c:valAx>
      <c:spPr>
        <a:noFill/>
        <a:ln w="25369">
          <a:noFill/>
        </a:ln>
      </c:spPr>
    </c:plotArea>
    <c:legend>
      <c:legendPos val="r"/>
      <c:layout>
        <c:manualLayout>
          <c:xMode val="edge"/>
          <c:yMode val="edge"/>
          <c:x val="0.7412731006160167"/>
          <c:y val="0.43034055727554643"/>
          <c:w val="0.22736771896275318"/>
          <c:h val="0.14498226807638348"/>
        </c:manualLayout>
      </c:layout>
      <c:overlay val="0"/>
      <c:spPr>
        <a:noFill/>
        <a:ln w="3171">
          <a:solidFill>
            <a:srgbClr val="000000"/>
          </a:solidFill>
          <a:prstDash val="solid"/>
        </a:ln>
      </c:spPr>
      <c:txPr>
        <a:bodyPr/>
        <a:lstStyle/>
        <a:p>
          <a:pPr>
            <a:defRPr sz="919" b="1" i="0" u="none" strike="noStrike" baseline="0">
              <a:solidFill>
                <a:srgbClr val="000000"/>
              </a:solidFill>
              <a:latin typeface="GHEA Grapalat"/>
              <a:ea typeface="GHEA Grapalat"/>
              <a:cs typeface="GHEA Grapalat"/>
            </a:defRPr>
          </a:pPr>
          <a:endParaRPr lang="ru-RU"/>
        </a:p>
      </c:txPr>
    </c:legend>
    <c:plotVisOnly val="1"/>
    <c:dispBlanksAs val="gap"/>
    <c:showDLblsOverMax val="0"/>
  </c:chart>
  <c:spPr>
    <a:noFill/>
    <a:ln>
      <a:noFill/>
    </a:ln>
  </c:spPr>
  <c:txPr>
    <a:bodyPr/>
    <a:lstStyle/>
    <a:p>
      <a:pPr>
        <a:defRPr sz="999" b="1" i="0" u="none" strike="noStrike" baseline="0">
          <a:solidFill>
            <a:srgbClr val="000000"/>
          </a:solidFill>
          <a:latin typeface="GHEA Grapalat"/>
          <a:ea typeface="GHEA Grapalat"/>
          <a:cs typeface="GHEA Grapalat"/>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6408317580340269E-2"/>
          <c:y val="4.5845272206303717E-2"/>
          <c:w val="0.64461247637052099"/>
          <c:h val="0.83667621776504364"/>
        </c:manualLayout>
      </c:layout>
      <c:bar3DChart>
        <c:barDir val="col"/>
        <c:grouping val="clustered"/>
        <c:varyColors val="0"/>
        <c:ser>
          <c:idx val="0"/>
          <c:order val="0"/>
          <c:tx>
            <c:strRef>
              <c:f>Sheet1!$A$2</c:f>
              <c:strCache>
                <c:ptCount val="1"/>
                <c:pt idx="0">
                  <c:v>Վարակվածներ</c:v>
                </c:pt>
              </c:strCache>
            </c:strRef>
          </c:tx>
          <c:spPr>
            <a:solidFill>
              <a:srgbClr val="9999FF"/>
            </a:solidFill>
            <a:ln w="12702">
              <a:solidFill>
                <a:srgbClr val="000000"/>
              </a:solidFill>
              <a:prstDash val="solid"/>
            </a:ln>
          </c:spPr>
          <c:invertIfNegative val="0"/>
          <c:cat>
            <c:strRef>
              <c:f>Sheet1!$B$1:$E$1</c:f>
              <c:strCache>
                <c:ptCount val="3"/>
                <c:pt idx="0">
                  <c:v>Հուլիս</c:v>
                </c:pt>
                <c:pt idx="1">
                  <c:v>Օգոստոս</c:v>
                </c:pt>
                <c:pt idx="2">
                  <c:v>Սեպտեբեր</c:v>
                </c:pt>
              </c:strCache>
            </c:strRef>
          </c:cat>
          <c:val>
            <c:numRef>
              <c:f>Sheet1!$B$2:$E$2</c:f>
              <c:numCache>
                <c:formatCode>General</c:formatCode>
                <c:ptCount val="4"/>
                <c:pt idx="0">
                  <c:v>5118</c:v>
                </c:pt>
                <c:pt idx="1">
                  <c:v>10997</c:v>
                </c:pt>
                <c:pt idx="2">
                  <c:v>17396</c:v>
                </c:pt>
              </c:numCache>
            </c:numRef>
          </c:val>
          <c:extLst>
            <c:ext xmlns:c16="http://schemas.microsoft.com/office/drawing/2014/chart" uri="{C3380CC4-5D6E-409C-BE32-E72D297353CC}">
              <c16:uniqueId val="{00000000-43D4-7A4A-AFBB-F98FD668F5E0}"/>
            </c:ext>
          </c:extLst>
        </c:ser>
        <c:ser>
          <c:idx val="1"/>
          <c:order val="1"/>
          <c:tx>
            <c:strRef>
              <c:f>Sheet1!$A$3</c:f>
              <c:strCache>
                <c:ptCount val="1"/>
                <c:pt idx="0">
                  <c:v>Մահեր</c:v>
                </c:pt>
              </c:strCache>
            </c:strRef>
          </c:tx>
          <c:spPr>
            <a:solidFill>
              <a:srgbClr val="993366"/>
            </a:solidFill>
            <a:ln w="12702">
              <a:solidFill>
                <a:srgbClr val="000000"/>
              </a:solidFill>
              <a:prstDash val="solid"/>
            </a:ln>
          </c:spPr>
          <c:invertIfNegative val="0"/>
          <c:cat>
            <c:strRef>
              <c:f>Sheet1!$B$1:$E$1</c:f>
              <c:strCache>
                <c:ptCount val="3"/>
                <c:pt idx="0">
                  <c:v>Հուլիս</c:v>
                </c:pt>
                <c:pt idx="1">
                  <c:v>Օգոստոս</c:v>
                </c:pt>
                <c:pt idx="2">
                  <c:v>Սեպտեբեր</c:v>
                </c:pt>
              </c:strCache>
            </c:strRef>
          </c:cat>
          <c:val>
            <c:numRef>
              <c:f>Sheet1!$B$3:$E$3</c:f>
              <c:numCache>
                <c:formatCode>General</c:formatCode>
                <c:ptCount val="4"/>
                <c:pt idx="0">
                  <c:v>102</c:v>
                </c:pt>
                <c:pt idx="1">
                  <c:v>204</c:v>
                </c:pt>
                <c:pt idx="2">
                  <c:v>434</c:v>
                </c:pt>
              </c:numCache>
            </c:numRef>
          </c:val>
          <c:extLst>
            <c:ext xmlns:c16="http://schemas.microsoft.com/office/drawing/2014/chart" uri="{C3380CC4-5D6E-409C-BE32-E72D297353CC}">
              <c16:uniqueId val="{00000001-43D4-7A4A-AFBB-F98FD668F5E0}"/>
            </c:ext>
          </c:extLst>
        </c:ser>
        <c:dLbls>
          <c:showLegendKey val="0"/>
          <c:showVal val="0"/>
          <c:showCatName val="0"/>
          <c:showSerName val="0"/>
          <c:showPercent val="0"/>
          <c:showBubbleSize val="0"/>
        </c:dLbls>
        <c:gapWidth val="150"/>
        <c:gapDepth val="0"/>
        <c:shape val="box"/>
        <c:axId val="60110720"/>
        <c:axId val="60112256"/>
        <c:axId val="0"/>
      </c:bar3DChart>
      <c:catAx>
        <c:axId val="60110720"/>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1000" b="1" i="0" u="none" strike="noStrike" baseline="0">
                <a:solidFill>
                  <a:srgbClr val="000000"/>
                </a:solidFill>
                <a:latin typeface="GHEA Grapalat"/>
                <a:ea typeface="GHEA Grapalat"/>
                <a:cs typeface="GHEA Grapalat"/>
              </a:defRPr>
            </a:pPr>
            <a:endParaRPr lang="ru-RU"/>
          </a:p>
        </c:txPr>
        <c:crossAx val="60112256"/>
        <c:crosses val="autoZero"/>
        <c:auto val="1"/>
        <c:lblAlgn val="ctr"/>
        <c:lblOffset val="100"/>
        <c:tickLblSkip val="1"/>
        <c:tickMarkSkip val="1"/>
        <c:noMultiLvlLbl val="0"/>
      </c:catAx>
      <c:valAx>
        <c:axId val="6011225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000" b="1" i="0" u="none" strike="noStrike" baseline="0">
                <a:solidFill>
                  <a:srgbClr val="000000"/>
                </a:solidFill>
                <a:latin typeface="GHEA Grapalat"/>
                <a:ea typeface="GHEA Grapalat"/>
                <a:cs typeface="GHEA Grapalat"/>
              </a:defRPr>
            </a:pPr>
            <a:endParaRPr lang="ru-RU"/>
          </a:p>
        </c:txPr>
        <c:crossAx val="60110720"/>
        <c:crosses val="autoZero"/>
        <c:crossBetween val="between"/>
      </c:valAx>
      <c:spPr>
        <a:noFill/>
        <a:ln w="25404">
          <a:noFill/>
        </a:ln>
      </c:spPr>
    </c:plotArea>
    <c:legend>
      <c:legendPos val="r"/>
      <c:layout>
        <c:manualLayout>
          <c:xMode val="edge"/>
          <c:yMode val="edge"/>
          <c:x val="0.76181474480151223"/>
          <c:y val="0.43553008595989129"/>
          <c:w val="0.2306238185255185"/>
          <c:h val="0.12893982808022941"/>
        </c:manualLayout>
      </c:layout>
      <c:overlay val="0"/>
      <c:spPr>
        <a:noFill/>
        <a:ln w="3176">
          <a:solidFill>
            <a:srgbClr val="000000"/>
          </a:solidFill>
          <a:prstDash val="solid"/>
        </a:ln>
      </c:spPr>
      <c:txPr>
        <a:bodyPr/>
        <a:lstStyle/>
        <a:p>
          <a:pPr>
            <a:defRPr sz="920" b="1" i="0" u="none" strike="noStrike" baseline="0">
              <a:solidFill>
                <a:srgbClr val="000000"/>
              </a:solidFill>
              <a:latin typeface="GHEA Grapalat"/>
              <a:ea typeface="GHEA Grapalat"/>
              <a:cs typeface="GHEA Grapalat"/>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GHEA Grapalat"/>
          <a:ea typeface="GHEA Grapalat"/>
          <a:cs typeface="GHEA Grapalat"/>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705C2-1CD0-4E32-9435-DDE818B3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2542</Words>
  <Characters>14490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Armenuhi Gargaloyan</dc:creator>
  <cp:keywords>https:/mul2.gov.am/tasks/504345/oneclick/4ff0aaa54968392161656902773c1ac8606f689026b141cbdda3c37e9ea40b86.docx?token=2c7e612e7878bf8b8dfca891d3ff6339</cp:keywords>
  <cp:lastModifiedBy>Пользователь Windows</cp:lastModifiedBy>
  <cp:revision>2</cp:revision>
  <dcterms:created xsi:type="dcterms:W3CDTF">2021-10-08T16:43:00Z</dcterms:created>
  <dcterms:modified xsi:type="dcterms:W3CDTF">2021-10-08T16:43:00Z</dcterms:modified>
</cp:coreProperties>
</file>