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6C748" w14:textId="690E8A19" w:rsidR="006442F7" w:rsidRDefault="00D409A5" w:rsidP="00107DB7">
      <w:pPr>
        <w:spacing w:after="0" w:line="24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ՀԻՄՆԱՎՈՐՈՒՄ</w:t>
      </w:r>
    </w:p>
    <w:p w14:paraId="00000002" w14:textId="6DD4C51C" w:rsidR="00D4346F" w:rsidRDefault="00E4532A" w:rsidP="00107DB7">
      <w:pPr>
        <w:spacing w:after="0" w:line="24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Tahoma" w:hAnsi="GHEA Grapalat" w:cs="Tahoma"/>
          <w:b/>
          <w:sz w:val="24"/>
          <w:szCs w:val="24"/>
        </w:rPr>
        <w:t>«</w:t>
      </w:r>
      <w:r w:rsidR="006442F7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ՇԱՐՈՒՆԱԿԱԿԱՆ ՄԱՍՆԱԳԻՏԱԿԱՆ ԶԱՐԳԱՑՄԱՆ ՀԱՎԱՍՏԱԳԻՐ ՍՏԱՆԱԼՈՒ ՀԱՄԱՐ ԹԵՍՏԱՎՈՐՄԱՆ ԿԱԶՄԱԿԵՐՊՄԱՆ ԵՎ ԻՐԱԿԱՆԱՑՄԱՆ ԿԱՐԳԸ ՀԱՍՏԱՏԵԼՈւ</w:t>
      </w:r>
      <w:r w:rsidR="006442F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6442F7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ՄԱՍԻՆ</w:t>
      </w:r>
      <w:r>
        <w:rPr>
          <w:rFonts w:ascii="GHEA Grapalat" w:eastAsia="Tahoma" w:hAnsi="GHEA Grapalat" w:cs="Tahoma"/>
          <w:b/>
          <w:sz w:val="24"/>
          <w:szCs w:val="24"/>
        </w:rPr>
        <w:t>»</w:t>
      </w:r>
      <w:r w:rsidR="00FF4801" w:rsidRPr="005D4C2E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r w:rsidR="00FF4801">
        <w:rPr>
          <w:rFonts w:ascii="GHEA Grapalat" w:eastAsia="Times New Roman" w:hAnsi="GHEA Grapalat"/>
          <w:b/>
          <w:sz w:val="24"/>
          <w:szCs w:val="24"/>
        </w:rPr>
        <w:t>ԿԱՌԱՎԱՐՈՒԹՅԱՆ ՈՐՈՇՄԱՆ</w:t>
      </w:r>
      <w:r w:rsidR="00D409A5">
        <w:rPr>
          <w:rFonts w:ascii="GHEA Grapalat" w:eastAsia="GHEA Grapalat" w:hAnsi="GHEA Grapalat" w:cs="GHEA Grapalat"/>
          <w:b/>
          <w:sz w:val="24"/>
          <w:szCs w:val="24"/>
        </w:rPr>
        <w:t xml:space="preserve"> ՆԱԽԱԳԾԻ</w:t>
      </w:r>
    </w:p>
    <w:p w14:paraId="13EC3DE1" w14:textId="77777777" w:rsidR="00107DB7" w:rsidRPr="00D05314" w:rsidRDefault="00107DB7" w:rsidP="00107DB7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</w:pPr>
    </w:p>
    <w:p w14:paraId="00000003" w14:textId="77777777" w:rsidR="00D4346F" w:rsidRDefault="00D409A5" w:rsidP="00107DB7">
      <w:pPr>
        <w:spacing w:after="0" w:line="360" w:lineRule="auto"/>
        <w:ind w:firstLine="851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bookmarkStart w:id="0" w:name="_heading=h.b2a0vj976vzo" w:colFirst="0" w:colLast="0"/>
      <w:bookmarkEnd w:id="0"/>
      <w:r>
        <w:rPr>
          <w:rFonts w:ascii="GHEA Grapalat" w:eastAsia="GHEA Grapalat" w:hAnsi="GHEA Grapalat" w:cs="GHEA Grapalat"/>
          <w:b/>
          <w:sz w:val="24"/>
          <w:szCs w:val="24"/>
        </w:rPr>
        <w:t>1. Ընթացիկ իրավիճակը և իրավական ակտի ընդունման անհրաժեշտությունը.</w:t>
      </w:r>
    </w:p>
    <w:p w14:paraId="29110029" w14:textId="4A598BD4" w:rsidR="00A268E3" w:rsidRDefault="00E4532A" w:rsidP="00107DB7">
      <w:pPr>
        <w:spacing w:after="0" w:line="360" w:lineRule="auto"/>
        <w:ind w:firstLine="851"/>
        <w:jc w:val="both"/>
        <w:rPr>
          <w:rFonts w:ascii="GHEA Grapalat" w:eastAsia="Tahoma" w:hAnsi="GHEA Grapalat" w:cs="Tahoma"/>
          <w:sz w:val="24"/>
          <w:szCs w:val="24"/>
        </w:rPr>
      </w:pPr>
      <w:bookmarkStart w:id="1" w:name="_heading=h.1wbslxd32w9l" w:colFirst="0" w:colLast="0"/>
      <w:bookmarkStart w:id="2" w:name="_heading=h.70n7kwy1s4ro" w:colFirst="0" w:colLast="0"/>
      <w:bookmarkStart w:id="3" w:name="_heading=h.51zart3l08qm" w:colFirst="0" w:colLast="0"/>
      <w:bookmarkEnd w:id="1"/>
      <w:bookmarkEnd w:id="2"/>
      <w:bookmarkEnd w:id="3"/>
      <w:r w:rsidRPr="0044635D">
        <w:rPr>
          <w:rFonts w:ascii="GHEA Grapalat" w:eastAsia="GHEA Grapalat" w:hAnsi="GHEA Grapalat" w:cs="GHEA Grapalat"/>
          <w:sz w:val="24"/>
          <w:szCs w:val="24"/>
        </w:rPr>
        <w:t xml:space="preserve">Սույն նախագծի ընդունումը </w:t>
      </w:r>
      <w:r w:rsidR="00BB7557">
        <w:rPr>
          <w:rFonts w:ascii="GHEA Grapalat" w:eastAsia="GHEA Grapalat" w:hAnsi="GHEA Grapalat" w:cs="GHEA Grapalat"/>
          <w:sz w:val="24"/>
          <w:szCs w:val="24"/>
        </w:rPr>
        <w:t xml:space="preserve">պայմանավորված է </w:t>
      </w:r>
      <w:r w:rsidR="007C73B1" w:rsidRPr="0044635D">
        <w:rPr>
          <w:rFonts w:ascii="GHEA Grapalat" w:eastAsia="GHEA Grapalat" w:hAnsi="GHEA Grapalat" w:cs="GHEA Grapalat"/>
          <w:sz w:val="24"/>
          <w:szCs w:val="24"/>
        </w:rPr>
        <w:t xml:space="preserve">«Բնակչության բժշկական օգնության և </w:t>
      </w:r>
      <w:r w:rsidR="007C73B1" w:rsidRPr="00A268E3">
        <w:rPr>
          <w:rFonts w:ascii="GHEA Grapalat" w:eastAsia="GHEA Grapalat" w:hAnsi="GHEA Grapalat" w:cs="GHEA Grapalat"/>
          <w:sz w:val="24"/>
          <w:szCs w:val="24"/>
        </w:rPr>
        <w:t>սպասարկման մասին» օրենքի</w:t>
      </w:r>
      <w:r w:rsidR="00BB7557" w:rsidRPr="00A268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A268E3" w:rsidRPr="00A268E3">
        <w:rPr>
          <w:rFonts w:ascii="GHEA Grapalat" w:eastAsia="GHEA Grapalat" w:hAnsi="GHEA Grapalat" w:cs="GHEA Grapalat"/>
          <w:sz w:val="24"/>
          <w:szCs w:val="24"/>
        </w:rPr>
        <w:t xml:space="preserve">(այսուհետ՝ Օրենք) </w:t>
      </w:r>
      <w:r w:rsidR="00BB7557" w:rsidRPr="00A268E3">
        <w:rPr>
          <w:rFonts w:ascii="GHEA Grapalat" w:eastAsia="GHEA Grapalat" w:hAnsi="GHEA Grapalat" w:cs="GHEA Grapalat"/>
          <w:sz w:val="24"/>
          <w:szCs w:val="24"/>
        </w:rPr>
        <w:t>34-րդ հոդվածի</w:t>
      </w:r>
      <w:r w:rsidRPr="00A268E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44635D" w:rsidRPr="00A268E3">
        <w:rPr>
          <w:rFonts w:ascii="GHEA Grapalat" w:eastAsia="Tahoma" w:hAnsi="GHEA Grapalat" w:cs="Tahoma"/>
          <w:sz w:val="24"/>
          <w:szCs w:val="24"/>
        </w:rPr>
        <w:t>34</w:t>
      </w:r>
      <w:r w:rsidRPr="00A268E3">
        <w:rPr>
          <w:rFonts w:ascii="GHEA Grapalat" w:eastAsia="Tahoma" w:hAnsi="GHEA Grapalat" w:cs="Tahoma"/>
          <w:sz w:val="24"/>
          <w:szCs w:val="24"/>
        </w:rPr>
        <w:t>-րդ հոդվածի</w:t>
      </w:r>
      <w:r w:rsidR="0044635D" w:rsidRPr="00A268E3">
        <w:rPr>
          <w:rFonts w:ascii="GHEA Grapalat" w:eastAsia="Tahoma" w:hAnsi="GHEA Grapalat" w:cs="Tahoma"/>
          <w:sz w:val="24"/>
          <w:szCs w:val="24"/>
        </w:rPr>
        <w:t xml:space="preserve"> 11</w:t>
      </w:r>
      <w:r w:rsidRPr="00A268E3">
        <w:rPr>
          <w:rFonts w:ascii="GHEA Grapalat" w:eastAsia="Tahoma" w:hAnsi="GHEA Grapalat" w:cs="Tahoma"/>
          <w:sz w:val="24"/>
          <w:szCs w:val="24"/>
        </w:rPr>
        <w:t xml:space="preserve">-րդ մասով </w:t>
      </w:r>
      <w:r w:rsidR="00BB7557" w:rsidRPr="00A268E3">
        <w:rPr>
          <w:rFonts w:ascii="GHEA Grapalat" w:eastAsia="Tahoma" w:hAnsi="GHEA Grapalat" w:cs="Tahoma"/>
          <w:sz w:val="24"/>
          <w:szCs w:val="24"/>
        </w:rPr>
        <w:t>նախատեսված դրույթի և Վարչապետի 2020 թվականի հուլիսի 28-ի թիվ 589-Ա որոշման հավելվածի 15-րդ կետի</w:t>
      </w:r>
      <w:r w:rsidR="00B67E46">
        <w:rPr>
          <w:rFonts w:ascii="GHEA Grapalat" w:eastAsia="Tahoma" w:hAnsi="GHEA Grapalat" w:cs="Tahoma"/>
          <w:sz w:val="24"/>
          <w:szCs w:val="24"/>
        </w:rPr>
        <w:t xml:space="preserve"> </w:t>
      </w:r>
      <w:r w:rsidR="00BB7557" w:rsidRPr="00A268E3">
        <w:rPr>
          <w:rFonts w:ascii="GHEA Grapalat" w:eastAsia="Tahoma" w:hAnsi="GHEA Grapalat" w:cs="Tahoma"/>
          <w:sz w:val="24"/>
          <w:szCs w:val="24"/>
        </w:rPr>
        <w:t>կատարման անհրաժեշտությամբ:</w:t>
      </w:r>
    </w:p>
    <w:p w14:paraId="7DD73F47" w14:textId="3CBB4C86" w:rsidR="005531DF" w:rsidRPr="00A268E3" w:rsidRDefault="005531DF" w:rsidP="00107DB7">
      <w:pPr>
        <w:spacing w:after="0" w:line="360" w:lineRule="auto"/>
        <w:ind w:firstLine="851"/>
        <w:jc w:val="both"/>
        <w:rPr>
          <w:rFonts w:ascii="GHEA Grapalat" w:eastAsia="Tahoma" w:hAnsi="GHEA Grapalat" w:cs="Tahoma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Նախագիծը կոչված է կարգավորելու  </w:t>
      </w:r>
      <w:r w:rsidRPr="008924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շարունակական մասնագիտական զարգացման հավաստագիր ստանալու համար թեստավորման կազմակերպման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8924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իրականացման</w:t>
      </w:r>
      <w:r w:rsidRPr="0089241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հետ կապված հարաբերությունները:</w:t>
      </w:r>
    </w:p>
    <w:p w14:paraId="53F3D449" w14:textId="36713039" w:rsidR="00A268E3" w:rsidRPr="00A268E3" w:rsidRDefault="00A268E3" w:rsidP="00107DB7">
      <w:pPr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</w:rPr>
      </w:pPr>
      <w:r w:rsidRPr="00A268E3">
        <w:rPr>
          <w:rFonts w:ascii="GHEA Grapalat" w:eastAsia="Tahoma" w:hAnsi="GHEA Grapalat" w:cs="Tahoma"/>
          <w:sz w:val="24"/>
          <w:szCs w:val="24"/>
        </w:rPr>
        <w:t xml:space="preserve">Օրենքի 33-րդ հոդվածի 4-րդ մասի համաձայն՝ </w:t>
      </w:r>
      <w:r>
        <w:rPr>
          <w:rFonts w:ascii="GHEA Grapalat" w:hAnsi="GHEA Grapalat"/>
          <w:color w:val="000000"/>
          <w:sz w:val="24"/>
          <w:szCs w:val="24"/>
        </w:rPr>
        <w:t>շ</w:t>
      </w:r>
      <w:r w:rsidRPr="00A268E3">
        <w:rPr>
          <w:rFonts w:ascii="GHEA Grapalat" w:hAnsi="GHEA Grapalat"/>
          <w:color w:val="000000"/>
          <w:sz w:val="24"/>
          <w:szCs w:val="24"/>
        </w:rPr>
        <w:t xml:space="preserve">արունակական մասնագիտական զարգացման գործունեությունը և շնորհվող ՇՄԶ կրեդիտները յուրաքանչյուր հնգամյա փուլում պետք է լրացվեն </w:t>
      </w:r>
      <w:r w:rsidR="005531DF">
        <w:rPr>
          <w:rFonts w:ascii="GHEA Grapalat" w:hAnsi="GHEA Grapalat"/>
          <w:color w:val="000000"/>
          <w:sz w:val="24"/>
          <w:szCs w:val="24"/>
        </w:rPr>
        <w:t xml:space="preserve">հետևյալ ձևով՝ </w:t>
      </w:r>
    </w:p>
    <w:p w14:paraId="4C23C54B" w14:textId="77777777" w:rsidR="00A268E3" w:rsidRPr="00A268E3" w:rsidRDefault="00A268E3" w:rsidP="00107DB7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A268E3">
        <w:rPr>
          <w:rFonts w:ascii="GHEA Grapalat" w:eastAsia="Times New Roman" w:hAnsi="GHEA Grapalat"/>
          <w:color w:val="000000"/>
          <w:sz w:val="24"/>
          <w:szCs w:val="24"/>
        </w:rPr>
        <w:t>1) ավագ բուժաշխատողների համար` առնվազն 220 ՇՄԶ կրեդիտ, բացառությամբ դեղագետների, որոնց համար սահմանվում է առնվազն 160 ՇՄԶ կրեդիտ.</w:t>
      </w:r>
    </w:p>
    <w:p w14:paraId="1354A0BF" w14:textId="77777777" w:rsidR="00A268E3" w:rsidRPr="00A268E3" w:rsidRDefault="00A268E3" w:rsidP="00107DB7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A268E3">
        <w:rPr>
          <w:rFonts w:ascii="GHEA Grapalat" w:eastAsia="Times New Roman" w:hAnsi="GHEA Grapalat"/>
          <w:color w:val="000000"/>
          <w:sz w:val="24"/>
          <w:szCs w:val="24"/>
        </w:rPr>
        <w:t>2) միջին բուժաշխատողների համար` առնվազն 140 ՇՄԶ կրեդիտ, բացառությամբ դեղագործների, որոնց համար սահմանվում է առնվազն 100 ՇՄԶ կրեդիտ:</w:t>
      </w:r>
    </w:p>
    <w:p w14:paraId="247706FF" w14:textId="5768CAF7" w:rsidR="00A268E3" w:rsidRDefault="005531DF" w:rsidP="00107DB7">
      <w:pPr>
        <w:spacing w:after="0" w:line="360" w:lineRule="auto"/>
        <w:ind w:firstLine="851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Նշված կրեդիտներն ամբողջությամբ չհավաքելու, սակայն դրանց  70 տոկոսը հավաքած լինելու, </w:t>
      </w:r>
      <w:r>
        <w:rPr>
          <w:rFonts w:ascii="GHEA Grapalat" w:eastAsia="Times New Roman" w:hAnsi="GHEA Grapalat"/>
          <w:color w:val="000000"/>
          <w:sz w:val="24"/>
          <w:szCs w:val="24"/>
        </w:rPr>
        <w:t xml:space="preserve">ինչպես նաև  </w:t>
      </w:r>
      <w:r w:rsidRPr="00DB700B">
        <w:rPr>
          <w:rFonts w:ascii="GHEA Grapalat" w:eastAsia="Times New Roman" w:hAnsi="GHEA Grapalat"/>
          <w:color w:val="000000"/>
          <w:sz w:val="24"/>
          <w:szCs w:val="24"/>
        </w:rPr>
        <w:t>վերջին հինգ տարում առնվազն երեք տարի մասնագիտական գործունեություն իրականացրած</w:t>
      </w:r>
      <w:r>
        <w:rPr>
          <w:rFonts w:ascii="GHEA Grapalat" w:eastAsia="Times New Roman" w:hAnsi="GHEA Grapalat"/>
          <w:color w:val="000000"/>
          <w:sz w:val="24"/>
          <w:szCs w:val="24"/>
        </w:rPr>
        <w:t xml:space="preserve"> չլինելու դեպքում, հավատարմագրմանը մասնակցելու թույլտվություն ստանալու համար </w:t>
      </w:r>
      <w:r>
        <w:rPr>
          <w:rFonts w:ascii="GHEA Grapalat" w:eastAsia="GHEA Grapalat" w:hAnsi="GHEA Grapalat" w:cs="GHEA Grapalat"/>
          <w:sz w:val="24"/>
          <w:szCs w:val="24"/>
        </w:rPr>
        <w:t xml:space="preserve">Օրենքը հնարավորություն է տալիս բուժաշխատողներին անցնել թեստավորում: </w:t>
      </w:r>
    </w:p>
    <w:p w14:paraId="00000009" w14:textId="56DB472E" w:rsidR="00D4346F" w:rsidRDefault="00D409A5" w:rsidP="00107DB7">
      <w:pPr>
        <w:pStyle w:val="Heading1"/>
        <w:spacing w:before="0" w:line="360" w:lineRule="auto"/>
        <w:ind w:firstLine="851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2. Առաջարկվող կարգավորման բնույթը.</w:t>
      </w:r>
    </w:p>
    <w:p w14:paraId="57816A7F" w14:textId="39202828" w:rsidR="005531DF" w:rsidRDefault="00BB7557" w:rsidP="00107DB7">
      <w:pPr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 xml:space="preserve">Սույն նախագծով կարգավորվում են </w:t>
      </w:r>
      <w:r w:rsidR="0044635D">
        <w:rPr>
          <w:rFonts w:ascii="GHEA Grapalat" w:hAnsi="GHEA Grapalat"/>
          <w:sz w:val="24"/>
          <w:szCs w:val="24"/>
        </w:rPr>
        <w:t xml:space="preserve"> </w:t>
      </w:r>
      <w:r w:rsidR="005531DF" w:rsidRPr="00DB700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բժշկական օգնություն և սպասարկում իրականացնելու համար բուժաշխատողի կրթության, շարունակական մասնագիտական զարգացման ՇՄԶ ընթացքում ստացված տեսական գիտելիքների </w:t>
      </w:r>
      <w:r w:rsidR="005531DF" w:rsidRPr="00DB700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lastRenderedPageBreak/>
        <w:t>և գործնական հմտությունների գնահատման գործընթացի` թեստավորման կազմակերպման</w:t>
      </w:r>
      <w:r w:rsidR="005531DF" w:rsidRPr="00DB700B">
        <w:rPr>
          <w:rFonts w:eastAsia="Times New Roman" w:cs="Calibri"/>
          <w:color w:val="000000"/>
          <w:sz w:val="24"/>
          <w:szCs w:val="24"/>
          <w:shd w:val="clear" w:color="auto" w:fill="FFFFFF"/>
        </w:rPr>
        <w:t> </w:t>
      </w:r>
      <w:r w:rsidR="005531DF" w:rsidRPr="00DB700B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և իրականացման հետ կապված հարաբերությունները</w:t>
      </w:r>
      <w:r w:rsidR="005531DF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: Մասնավոր</w:t>
      </w:r>
      <w:r w:rsidR="00B67E46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ա</w:t>
      </w:r>
      <w:r w:rsidR="005531DF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պես՝ Նախագծով սահմանված է, որ թեստավորումն իրականացվում է մասնագիտական հանձնաժողովների կողմից, </w:t>
      </w:r>
      <w:r w:rsidR="005531DF" w:rsidRPr="00DB700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որոնց կազմում ընդգրկվում են բժշկական մասնագիտական հասարակական միավորումների, բժշկական ուսումնական հաստատությունների, բժշկական կազմակերպությունների և Լիազոր մարմնի ներկայացուցիչներ:</w:t>
      </w:r>
      <w:r w:rsidR="0065046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Հստակեցված են </w:t>
      </w:r>
      <w:r w:rsidR="005531D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թեստավորմանը մասնակցելու նպատակով Առողջապահության նախարարություն ներկայացվող անհրաժեշտ փաստաթղթերի ցանկը, ժամկետները, եղանակները, թեստավորմանը մասնակցելու թույլտվություն ստանալու դեպքում մասնակցին ծանուցելու կարգը, թեստավորման անցկացման ընթացքում մասնակցի վարքագծին առաջադրվող պահանջները, թեստերի ձևավորման կարգը և այլն:</w:t>
      </w:r>
    </w:p>
    <w:p w14:paraId="0ED9EFF6" w14:textId="2ED003B6" w:rsidR="001C16C1" w:rsidRDefault="001C16C1" w:rsidP="00107DB7">
      <w:pPr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Նախագծով թեստավորման արդյունքների բողոքարկման հնարավորություն նախատեսված չէ, հաշվի առնելով այն հանգամանքը, որ թեստային առաջադրանքները մշակվում են մասնագիտական հանձնաժողովների կողմից և հաստատվում լիազոր մարմնի կողմից, ինչը չեզոքացնում է առաջադրանքների ոչ հստակ լինելու կամ սխալ լինելու հնարավորությունը։ Ընդ որում, նման պրակտիկա գործում է </w:t>
      </w:r>
      <w:r w:rsidR="00865C8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տարբեր զարգացած երկրներում, այդ թվում՝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ամերիկյան համակարգում։ </w:t>
      </w:r>
      <w:bookmarkStart w:id="4" w:name="_heading=h.4plegx2k3rte" w:colFirst="0" w:colLast="0"/>
      <w:bookmarkEnd w:id="4"/>
    </w:p>
    <w:p w14:paraId="35FEB413" w14:textId="77777777" w:rsidR="001C16C1" w:rsidRDefault="001C16C1" w:rsidP="00107DB7">
      <w:pPr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14:paraId="0000000C" w14:textId="4635891D" w:rsidR="00D4346F" w:rsidRPr="001C16C1" w:rsidRDefault="00D409A5" w:rsidP="00107DB7">
      <w:pPr>
        <w:spacing w:after="0" w:line="360" w:lineRule="auto"/>
        <w:ind w:firstLine="851"/>
        <w:jc w:val="both"/>
        <w:rPr>
          <w:rFonts w:ascii="GHEA Grapalat" w:eastAsia="GHEA Grapalat" w:hAnsi="GHEA Grapalat" w:cs="GHEA Grapalat"/>
          <w:b/>
        </w:rPr>
      </w:pPr>
      <w:r w:rsidRPr="001C16C1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3. Նախագծի մշակման գործընթացում ներգրավված ինստիտուտները և անձինք</w:t>
      </w:r>
    </w:p>
    <w:p w14:paraId="0000000D" w14:textId="5258C4B9" w:rsidR="00D4346F" w:rsidRDefault="00B67E46" w:rsidP="00107D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851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Նախագիծը մշակվել է </w:t>
      </w:r>
      <w:r w:rsidR="001C16C1">
        <w:rPr>
          <w:rFonts w:ascii="GHEA Grapalat" w:hAnsi="GHEA Grapalat"/>
          <w:sz w:val="24"/>
          <w:szCs w:val="24"/>
        </w:rPr>
        <w:t xml:space="preserve"> ՀՀ </w:t>
      </w:r>
      <w:r w:rsidR="00011C80" w:rsidRPr="00011C80">
        <w:rPr>
          <w:rFonts w:ascii="GHEA Grapalat" w:hAnsi="GHEA Grapalat"/>
          <w:sz w:val="24"/>
          <w:szCs w:val="24"/>
        </w:rPr>
        <w:t xml:space="preserve">ԱՆ «Ակադեմիկոս Ս. Ավդալբեկյանի անվան առողջապահության ազգային ինստիտուտ» ՓԲԸ-ի </w:t>
      </w:r>
      <w:r w:rsidR="00E4532A">
        <w:rPr>
          <w:rFonts w:ascii="GHEA Grapalat" w:hAnsi="GHEA Grapalat"/>
          <w:sz w:val="24"/>
          <w:szCs w:val="24"/>
        </w:rPr>
        <w:t xml:space="preserve">աշխատակիցների </w:t>
      </w:r>
      <w:r w:rsidR="00011C80" w:rsidRPr="00011C80">
        <w:rPr>
          <w:rFonts w:ascii="GHEA Grapalat" w:hAnsi="GHEA Grapalat"/>
          <w:sz w:val="24"/>
          <w:szCs w:val="24"/>
        </w:rPr>
        <w:t>կողմից:</w:t>
      </w:r>
      <w:r w:rsidR="00011C80" w:rsidRPr="00E700FB">
        <w:rPr>
          <w:rFonts w:ascii="GHEA Grapalat" w:eastAsia="GHEA Grapalat" w:hAnsi="GHEA Grapalat" w:cs="GHEA Grapalat"/>
          <w:sz w:val="24"/>
          <w:szCs w:val="24"/>
          <w:highlight w:val="yellow"/>
        </w:rPr>
        <w:t xml:space="preserve"> </w:t>
      </w:r>
    </w:p>
    <w:p w14:paraId="0000000E" w14:textId="77777777" w:rsidR="00D4346F" w:rsidRDefault="00D409A5" w:rsidP="00107DB7">
      <w:pPr>
        <w:pStyle w:val="Heading1"/>
        <w:spacing w:before="0" w:line="360" w:lineRule="auto"/>
        <w:ind w:firstLine="851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4. Ակնկալվող արդյունքը</w:t>
      </w:r>
    </w:p>
    <w:p w14:paraId="2F37D444" w14:textId="54AD6ACA" w:rsidR="00044545" w:rsidRDefault="00044545" w:rsidP="00107DB7">
      <w:pPr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</w:rPr>
      </w:pPr>
      <w:bookmarkStart w:id="5" w:name="_heading=h.gjdgxs" w:colFirst="0" w:colLast="0"/>
      <w:bookmarkStart w:id="6" w:name="_heading=h.3vqqujeo3z5l" w:colFirst="0" w:colLast="0"/>
      <w:bookmarkStart w:id="7" w:name="_heading=h.hq38dh9wb2w2" w:colFirst="0" w:colLast="0"/>
      <w:bookmarkEnd w:id="5"/>
      <w:bookmarkEnd w:id="6"/>
      <w:bookmarkEnd w:id="7"/>
      <w:r>
        <w:rPr>
          <w:rFonts w:ascii="GHEA Grapalat" w:eastAsia="Times New Roman" w:hAnsi="GHEA Grapalat"/>
          <w:sz w:val="24"/>
          <w:szCs w:val="24"/>
        </w:rPr>
        <w:t xml:space="preserve">Նախագծի ընդունման արդյունքում ակնկալվում է. </w:t>
      </w:r>
    </w:p>
    <w:p w14:paraId="0BD70EB2" w14:textId="340FDF37" w:rsidR="00044545" w:rsidRDefault="00044545" w:rsidP="00107DB7">
      <w:pPr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 xml:space="preserve">1) կանոնակարգել </w:t>
      </w:r>
      <w:r w:rsidR="0038321B" w:rsidRPr="008924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շարունակական մասնագիտական զարգացման հավաստագիր ստանալու համար թեստավորման կազմակերպման </w:t>
      </w:r>
      <w:r w:rsidR="0038321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38321B" w:rsidRPr="0089241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իրականացման</w:t>
      </w:r>
      <w:r w:rsidR="0038321B">
        <w:rPr>
          <w:rFonts w:ascii="GHEA Grapalat" w:eastAsia="Times New Roman" w:hAnsi="GHEA Grapalat"/>
          <w:sz w:val="24"/>
          <w:szCs w:val="24"/>
        </w:rPr>
        <w:t xml:space="preserve"> կարգը` </w:t>
      </w:r>
      <w:r>
        <w:rPr>
          <w:rFonts w:ascii="GHEA Grapalat" w:eastAsia="Times New Roman" w:hAnsi="GHEA Grapalat"/>
          <w:sz w:val="24"/>
          <w:szCs w:val="24"/>
        </w:rPr>
        <w:t>հստակ պահանջների սահմանմամբ</w:t>
      </w:r>
      <w:r w:rsidR="00C51A80">
        <w:rPr>
          <w:rFonts w:ascii="GHEA Grapalat" w:eastAsia="Times New Roman" w:hAnsi="GHEA Grapalat"/>
          <w:sz w:val="24"/>
          <w:szCs w:val="24"/>
        </w:rPr>
        <w:t>.</w:t>
      </w:r>
      <w:bookmarkStart w:id="8" w:name="_GoBack"/>
      <w:bookmarkEnd w:id="8"/>
    </w:p>
    <w:p w14:paraId="545B7BE9" w14:textId="092EF8B0" w:rsidR="00044545" w:rsidRDefault="00044545" w:rsidP="00107DB7">
      <w:pPr>
        <w:spacing w:after="0" w:line="360" w:lineRule="auto"/>
        <w:ind w:firstLine="851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2) բարելավել առողջապահության ոլորտում առկա կադրային ներուժի մասով վարվող քաղաքականությունը:</w:t>
      </w:r>
    </w:p>
    <w:sectPr w:rsidR="00044545" w:rsidSect="00107DB7">
      <w:pgSz w:w="11907" w:h="16840" w:code="9"/>
      <w:pgMar w:top="851" w:right="1134" w:bottom="851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16AE6"/>
    <w:multiLevelType w:val="hybridMultilevel"/>
    <w:tmpl w:val="4A563FB6"/>
    <w:lvl w:ilvl="0" w:tplc="8A265D4C">
      <w:start w:val="1"/>
      <w:numFmt w:val="decimal"/>
      <w:lvlText w:val="%1."/>
      <w:lvlJc w:val="left"/>
      <w:pPr>
        <w:ind w:left="1205" w:hanging="576"/>
      </w:pPr>
      <w:rPr>
        <w:rFonts w:eastAsia="Tahoma" w:cs="Tahom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09" w:hanging="360"/>
      </w:pPr>
    </w:lvl>
    <w:lvl w:ilvl="2" w:tplc="0409001B" w:tentative="1">
      <w:start w:val="1"/>
      <w:numFmt w:val="lowerRoman"/>
      <w:lvlText w:val="%3."/>
      <w:lvlJc w:val="right"/>
      <w:pPr>
        <w:ind w:left="2429" w:hanging="180"/>
      </w:pPr>
    </w:lvl>
    <w:lvl w:ilvl="3" w:tplc="0409000F" w:tentative="1">
      <w:start w:val="1"/>
      <w:numFmt w:val="decimal"/>
      <w:lvlText w:val="%4."/>
      <w:lvlJc w:val="left"/>
      <w:pPr>
        <w:ind w:left="3149" w:hanging="360"/>
      </w:pPr>
    </w:lvl>
    <w:lvl w:ilvl="4" w:tplc="04090019" w:tentative="1">
      <w:start w:val="1"/>
      <w:numFmt w:val="lowerLetter"/>
      <w:lvlText w:val="%5."/>
      <w:lvlJc w:val="left"/>
      <w:pPr>
        <w:ind w:left="3869" w:hanging="360"/>
      </w:pPr>
    </w:lvl>
    <w:lvl w:ilvl="5" w:tplc="0409001B" w:tentative="1">
      <w:start w:val="1"/>
      <w:numFmt w:val="lowerRoman"/>
      <w:lvlText w:val="%6."/>
      <w:lvlJc w:val="right"/>
      <w:pPr>
        <w:ind w:left="4589" w:hanging="180"/>
      </w:pPr>
    </w:lvl>
    <w:lvl w:ilvl="6" w:tplc="0409000F" w:tentative="1">
      <w:start w:val="1"/>
      <w:numFmt w:val="decimal"/>
      <w:lvlText w:val="%7."/>
      <w:lvlJc w:val="left"/>
      <w:pPr>
        <w:ind w:left="5309" w:hanging="360"/>
      </w:pPr>
    </w:lvl>
    <w:lvl w:ilvl="7" w:tplc="04090019" w:tentative="1">
      <w:start w:val="1"/>
      <w:numFmt w:val="lowerLetter"/>
      <w:lvlText w:val="%8."/>
      <w:lvlJc w:val="left"/>
      <w:pPr>
        <w:ind w:left="6029" w:hanging="360"/>
      </w:pPr>
    </w:lvl>
    <w:lvl w:ilvl="8" w:tplc="040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1" w15:restartNumberingAfterBreak="0">
    <w:nsid w:val="61011D91"/>
    <w:multiLevelType w:val="multilevel"/>
    <w:tmpl w:val="E02EEF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46F"/>
    <w:rsid w:val="00011C80"/>
    <w:rsid w:val="00044545"/>
    <w:rsid w:val="000538B7"/>
    <w:rsid w:val="000663E7"/>
    <w:rsid w:val="00107DB7"/>
    <w:rsid w:val="00116EF3"/>
    <w:rsid w:val="00140210"/>
    <w:rsid w:val="001508C5"/>
    <w:rsid w:val="001B693A"/>
    <w:rsid w:val="001C16C1"/>
    <w:rsid w:val="002C6D1C"/>
    <w:rsid w:val="00350733"/>
    <w:rsid w:val="0038321B"/>
    <w:rsid w:val="003B104A"/>
    <w:rsid w:val="0044635D"/>
    <w:rsid w:val="00473117"/>
    <w:rsid w:val="004C4FE5"/>
    <w:rsid w:val="005531DF"/>
    <w:rsid w:val="00560E79"/>
    <w:rsid w:val="005A5EBD"/>
    <w:rsid w:val="006442F7"/>
    <w:rsid w:val="00650461"/>
    <w:rsid w:val="00711942"/>
    <w:rsid w:val="007216E5"/>
    <w:rsid w:val="00751A77"/>
    <w:rsid w:val="007C73B1"/>
    <w:rsid w:val="007D4A37"/>
    <w:rsid w:val="00841EFC"/>
    <w:rsid w:val="00865C8A"/>
    <w:rsid w:val="00883CD9"/>
    <w:rsid w:val="00892414"/>
    <w:rsid w:val="00A268E3"/>
    <w:rsid w:val="00AA2D6C"/>
    <w:rsid w:val="00B67E46"/>
    <w:rsid w:val="00BB7557"/>
    <w:rsid w:val="00BB7B7A"/>
    <w:rsid w:val="00BE27A5"/>
    <w:rsid w:val="00C51A80"/>
    <w:rsid w:val="00C905A6"/>
    <w:rsid w:val="00C960EC"/>
    <w:rsid w:val="00CB72B0"/>
    <w:rsid w:val="00D05314"/>
    <w:rsid w:val="00D409A5"/>
    <w:rsid w:val="00D4346F"/>
    <w:rsid w:val="00D52A56"/>
    <w:rsid w:val="00D75A0F"/>
    <w:rsid w:val="00D9399B"/>
    <w:rsid w:val="00E150FC"/>
    <w:rsid w:val="00E169CB"/>
    <w:rsid w:val="00E4532A"/>
    <w:rsid w:val="00E643B7"/>
    <w:rsid w:val="00E700FB"/>
    <w:rsid w:val="00EB1FC0"/>
    <w:rsid w:val="00F14FE0"/>
    <w:rsid w:val="00F20A6C"/>
    <w:rsid w:val="00F25946"/>
    <w:rsid w:val="00F64E5F"/>
    <w:rsid w:val="00F85E20"/>
    <w:rsid w:val="00FF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89C81"/>
  <w15:docId w15:val="{1C62A82B-88EB-4319-AA4E-2B287F57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F75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F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rsid w:val="00B7687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B7687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B7687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B7687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B7687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B7687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A03F7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/>
    </w:rPr>
  </w:style>
  <w:style w:type="character" w:customStyle="1" w:styleId="NormalWebChar">
    <w:name w:val="Normal (Web) Char"/>
    <w:aliases w:val="webb Char"/>
    <w:link w:val="NormalWeb"/>
    <w:uiPriority w:val="99"/>
    <w:qFormat/>
    <w:locked/>
    <w:rsid w:val="00A03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A03F75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03F7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54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4254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425425"/>
    <w:rPr>
      <w:rFonts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4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425"/>
    <w:rPr>
      <w:rFonts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425"/>
    <w:rPr>
      <w:rFonts w:ascii="Segoe UI" w:hAnsi="Segoe UI" w:cs="Segoe UI"/>
      <w:sz w:val="18"/>
      <w:szCs w:val="18"/>
      <w:lang w:val="ru-RU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uiPriority w:val="22"/>
    <w:qFormat/>
    <w:rsid w:val="00A053B9"/>
    <w:rPr>
      <w:b/>
      <w:bCs/>
    </w:rPr>
  </w:style>
  <w:style w:type="character" w:styleId="Hyperlink">
    <w:name w:val="Hyperlink"/>
    <w:uiPriority w:val="99"/>
    <w:semiHidden/>
    <w:unhideWhenUsed/>
    <w:rsid w:val="006442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ZJ2kO9OWaaEyzSOaeushq+tqzA==">AMUW2mXnS52x5nogNrQaZugKKDdvrbM+j4D7gV9aSKZm8GakU9KBFeNeqCxUSmtCijmazd/98yrS2L3oy1txDskDcn15wLF45IAC05XzrBunGiCKjlIuQmzfmNOs6f9dMzgf+l3i2lFLiBnnJQJXyL+5OcTJlWg8BtWBLdoVOJPyiCp9nzYhsKbWZGm096UIJJvQGDI0KbP257CmC+yxILQBVD/b2ueL8cONgQUsriNBq9sLFV+azAOxqQ91Dxzmerz9LKnpxvCeK8bwUBStxOUzRqGAneL7z6+mcvwfFz9+usidpwylpGdl6q+OQl2Bkj/T3gvDty/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Sargsyan</dc:creator>
  <cp:keywords>https:/mul2-moh.gov.am/tasks/197051/oneclick/himnavorum.test.docx?token=584bfcbefd5cc42b6d949eb979124b3c</cp:keywords>
  <cp:lastModifiedBy>MOH</cp:lastModifiedBy>
  <cp:revision>2</cp:revision>
  <dcterms:created xsi:type="dcterms:W3CDTF">2021-05-18T04:47:00Z</dcterms:created>
  <dcterms:modified xsi:type="dcterms:W3CDTF">2021-05-18T04:47:00Z</dcterms:modified>
</cp:coreProperties>
</file>