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0A" w:rsidRPr="00EE6F7B" w:rsidRDefault="006C210A" w:rsidP="006C210A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EE6F7B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6C210A" w:rsidRPr="00EE6F7B" w:rsidRDefault="006C210A" w:rsidP="006C210A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rFonts w:ascii="GHEA Grapalat" w:hAnsi="GHEA Grapalat"/>
          <w:b/>
          <w:color w:val="000000"/>
          <w:lang w:val="hy-AM"/>
        </w:rPr>
      </w:pPr>
      <w:r w:rsidRPr="00EE6F7B">
        <w:rPr>
          <w:rFonts w:ascii="GHEA Grapalat" w:hAnsi="GHEA Grapalat"/>
          <w:b/>
          <w:color w:val="000000"/>
          <w:lang w:val="hy-AM"/>
        </w:rPr>
        <w:t>«ՀԱՅԱՍՏԱՆԻ ՀԱՆՐԱՊԵՏՈՒԹՅԱՆ ԿԱՌԱՎԱՐՈՒԹՅԱՆ 2018 ԹՎԱԿԱՆԻ ՀՈԿՏԵՄԲԵՐԻ 4-Ի N 11</w:t>
      </w:r>
      <w:r w:rsidR="006F1E6E">
        <w:rPr>
          <w:rFonts w:ascii="GHEA Grapalat" w:hAnsi="GHEA Grapalat"/>
          <w:b/>
          <w:color w:val="000000"/>
          <w:lang w:val="hy-AM"/>
        </w:rPr>
        <w:t>39-Ն ՈՐՈՇՄԱՆ ՄԵՋ ՓՈՓՈԽՈՒԹՅՈՒՆ</w:t>
      </w:r>
      <w:r w:rsidRPr="00EE6F7B">
        <w:rPr>
          <w:rFonts w:ascii="GHEA Grapalat" w:hAnsi="GHEA Grapalat"/>
          <w:b/>
          <w:color w:val="000000"/>
          <w:lang w:val="hy-AM"/>
        </w:rPr>
        <w:t xml:space="preserve"> ԿԱՏԱՐԵԼՈՒ ՄԱՍԻՆ»</w:t>
      </w:r>
    </w:p>
    <w:p w:rsidR="006C210A" w:rsidRPr="00EE6F7B" w:rsidRDefault="006C210A" w:rsidP="006C210A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rFonts w:ascii="GHEA Grapalat" w:hAnsi="GHEA Grapalat"/>
          <w:b/>
          <w:color w:val="000000"/>
          <w:lang w:val="hy-AM"/>
        </w:rPr>
      </w:pPr>
      <w:r w:rsidRPr="00EE6F7B">
        <w:rPr>
          <w:rFonts w:ascii="GHEA Grapalat" w:hAnsi="GHEA Grapalat"/>
          <w:b/>
          <w:color w:val="000000"/>
          <w:lang w:val="hy-AM"/>
        </w:rPr>
        <w:t>ՀԱՅԱՍՏԱՆԻ ՀԱՆՐԱՊԵՏՈՒԹՅԱՆ ԿԱՌԱՎԱՐՈՒԹՅԱՆ ՈՐՈՇՄԱՆ ՆԱԽԱԳԾԻ</w:t>
      </w:r>
    </w:p>
    <w:p w:rsidR="006C210A" w:rsidRPr="00EE6F7B" w:rsidRDefault="006C210A" w:rsidP="006C210A">
      <w:pPr>
        <w:rPr>
          <w:rFonts w:ascii="GHEA Grapalat" w:hAnsi="GHEA Grapalat"/>
          <w:sz w:val="24"/>
          <w:szCs w:val="24"/>
          <w:lang w:val="hy-AM"/>
        </w:rPr>
      </w:pPr>
    </w:p>
    <w:p w:rsidR="006C210A" w:rsidRPr="00CA65FE" w:rsidRDefault="006C210A" w:rsidP="006C210A">
      <w:pPr>
        <w:ind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CA65F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Ընթացիկ վիճակը և ընդունման անհրաժեշտությունը.</w:t>
      </w:r>
    </w:p>
    <w:p w:rsidR="006C210A" w:rsidRPr="00CA65FE" w:rsidRDefault="006C210A" w:rsidP="000A113B">
      <w:pPr>
        <w:spacing w:line="360" w:lineRule="auto"/>
        <w:ind w:firstLine="720"/>
        <w:jc w:val="both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A65F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կառավարության 2018 թվականի </w:t>
      </w:r>
      <w:r w:rsidRPr="00CA65F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D245E">
        <w:rPr>
          <w:rFonts w:ascii="GHEA Grapalat" w:hAnsi="GHEA Grapalat"/>
          <w:color w:val="000000"/>
          <w:sz w:val="24"/>
          <w:szCs w:val="24"/>
          <w:lang w:val="hy-AM"/>
        </w:rPr>
        <w:t xml:space="preserve">               </w:t>
      </w:r>
      <w:r w:rsidRPr="00CA65FE">
        <w:rPr>
          <w:rFonts w:ascii="GHEA Grapalat" w:hAnsi="GHEA Grapalat"/>
          <w:color w:val="000000"/>
          <w:sz w:val="24"/>
          <w:szCs w:val="24"/>
          <w:lang w:val="hy-AM"/>
        </w:rPr>
        <w:t xml:space="preserve">N 1139-Ն </w:t>
      </w:r>
      <w:r w:rsidR="00E70BDF">
        <w:rPr>
          <w:rFonts w:ascii="GHEA Grapalat" w:hAnsi="GHEA Grapalat"/>
          <w:color w:val="000000"/>
          <w:sz w:val="24"/>
          <w:szCs w:val="24"/>
          <w:lang w:val="hy-AM"/>
        </w:rPr>
        <w:t>որոշման Հավելված 1-ով հաստատվել են</w:t>
      </w:r>
      <w:r w:rsidRPr="00CA65FE">
        <w:rPr>
          <w:rFonts w:ascii="GHEA Grapalat" w:hAnsi="GHEA Grapalat"/>
          <w:color w:val="000000"/>
          <w:sz w:val="24"/>
          <w:szCs w:val="24"/>
          <w:lang w:val="hy-AM"/>
        </w:rPr>
        <w:t xml:space="preserve"> Կրթության տեսչական մարմնի կողմից </w:t>
      </w:r>
      <w:r w:rsidR="00AD245E">
        <w:rPr>
          <w:rFonts w:ascii="GHEA Grapalat" w:hAnsi="GHEA Grapalat"/>
          <w:color w:val="000000"/>
          <w:sz w:val="24"/>
          <w:szCs w:val="24"/>
          <w:lang w:val="hy-AM"/>
        </w:rPr>
        <w:t>իրականացվող</w:t>
      </w:r>
      <w:r w:rsidRPr="00CA65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</w:t>
      </w:r>
      <w:r w:rsidRPr="00CA65F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ախադպրոցական կրթական ծրագրեր իրականացնող կազմակերպություններում</w:t>
      </w:r>
      <w:r w:rsidR="00122E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A65F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(նախադպրոցական ուսումնական հաստատություններում) անցկացվող</w:t>
      </w:r>
      <w:r w:rsidRPr="00CA65FE">
        <w:rPr>
          <w:rStyle w:val="Strong"/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CA65F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ստուգումների ստուգաթերթերը</w:t>
      </w:r>
      <w:r w:rsidRPr="00CA65FE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6C210A" w:rsidRPr="00CA65FE" w:rsidRDefault="00C80444" w:rsidP="000A113B">
      <w:pPr>
        <w:spacing w:line="360" w:lineRule="auto"/>
        <w:ind w:firstLine="720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Նախորդ 2 տարիներին տ</w:t>
      </w:r>
      <w:r w:rsidR="006C210A" w:rsidRPr="00CA65F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եսչական մարմնի աշխատակիցների կողմից իրականացվող ստուգումների ընթացքում բացահայտվել են գործող ստուգաթերթերում առկա </w:t>
      </w:r>
      <w:r w:rsidR="00AD245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որոշ </w:t>
      </w:r>
      <w:r w:rsidR="006C210A" w:rsidRPr="00CA65F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թերություններ</w:t>
      </w:r>
      <w:r w:rsidR="00DC587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.</w:t>
      </w:r>
      <w:r w:rsidR="00AD245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9582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մասնավորապես՝ </w:t>
      </w:r>
      <w:r w:rsidR="00DC587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ստուգաթերթերը երբեմն պարունակում են օբյեկտիվորեն ստուգման ենթակա չհանդիսացող, ոչ էական, և՛ տնտեսավարողին, և՛ հարցաշարը ավելորդ ծանրաբեռնող հարցեր:  </w:t>
      </w:r>
      <w:r w:rsidR="00BD12F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Փոփոխությունների ա</w:t>
      </w:r>
      <w:r w:rsidR="00DC587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ռաջարկվող նախագծով </w:t>
      </w:r>
      <w:r w:rsidR="00BD12F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շտկվել են վերը նշված</w:t>
      </w:r>
      <w:r w:rsidR="00CB6CC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բացթողումները</w:t>
      </w:r>
      <w:r w:rsidR="00BD12F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, հստակեցվել են </w:t>
      </w:r>
      <w:r w:rsidR="00CB5E7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հարցաշարերի</w:t>
      </w:r>
      <w:r w:rsidR="00BD12F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իրավական շրջանակները: </w:t>
      </w:r>
      <w:r w:rsidR="006C210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Միաժամանակ </w:t>
      </w:r>
      <w:r w:rsidR="00BD1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ոլորտում </w:t>
      </w:r>
      <w:r w:rsidR="006C210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կրթության որակի նկատմամբ վերահսկողությունն առավել ընդգրկուն </w:t>
      </w:r>
      <w:r w:rsidR="00BD1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կազմակերպելու համար </w:t>
      </w:r>
      <w:r w:rsidR="00A60BD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ավելացվում</w:t>
      </w:r>
      <w:r w:rsidR="006C210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է </w:t>
      </w:r>
      <w:r w:rsidR="00BD1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ևս 1 ստուգաթերթ</w:t>
      </w:r>
      <w:r w:rsidR="006C210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՝ ուղղված Նախադպրոցական ուսումնական հաստատություններում կրթության կազմակերպման պահանջների ստուգմանը</w:t>
      </w:r>
      <w:r w:rsidR="00366E0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, ինչը </w:t>
      </w:r>
      <w:r w:rsidR="00A60BD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համահունչ է</w:t>
      </w:r>
      <w:r w:rsidR="00366E0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տեսչական մարմնի </w:t>
      </w:r>
      <w:r w:rsidR="00A60BD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գործունեության հիմնական նպատակին</w:t>
      </w:r>
      <w:r w:rsidR="006C210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6C210A" w:rsidRPr="00EB1EA8" w:rsidRDefault="006C210A" w:rsidP="000A113B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B1EA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Ակնկալվող արդյունքը.</w:t>
      </w:r>
      <w:r w:rsidRPr="00CA65FE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Pr="00EB1EA8">
        <w:rPr>
          <w:rFonts w:ascii="GHEA Grapalat" w:eastAsia="Times New Roman" w:hAnsi="GHEA Grapalat" w:cs="Times New Roman"/>
          <w:sz w:val="24"/>
          <w:szCs w:val="24"/>
          <w:lang w:val="hy-AM"/>
        </w:rPr>
        <w:t>Նախագծի ընդունման արդյունքում նախադպրոցական կրթության ոլորտում</w:t>
      </w:r>
      <w:r w:rsidRPr="00EB1EA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EB1EA8">
        <w:rPr>
          <w:rFonts w:ascii="GHEA Grapalat" w:hAnsi="GHEA Grapalat"/>
          <w:color w:val="000000"/>
          <w:sz w:val="24"/>
          <w:szCs w:val="24"/>
          <w:lang w:val="hy-AM"/>
        </w:rPr>
        <w:t xml:space="preserve">իրականացվող ստուգումների ստուգաթերթերը կհամապատասխանեցվեն գործող օրենսդրությանը և </w:t>
      </w:r>
      <w:r w:rsidRPr="00EB1EA8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կապահովեն նախադրպրոցական կրթության բնագավառի վերահսկողության անխոչընդոտ և առավել արդյունավետ իրականացմանը:</w:t>
      </w:r>
    </w:p>
    <w:p w:rsidR="00804522" w:rsidRDefault="00804522" w:rsidP="000A113B">
      <w:pPr>
        <w:spacing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</w:p>
    <w:p w:rsidR="006C210A" w:rsidRPr="00CA65FE" w:rsidRDefault="006C210A" w:rsidP="000A113B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65F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անձինք.</w:t>
      </w:r>
    </w:p>
    <w:p w:rsidR="006C210A" w:rsidRPr="00CA532E" w:rsidRDefault="006C210A" w:rsidP="000A113B">
      <w:pPr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CA65FE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Pr="00EB1EA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ՀՀ վարչապետի աշխատակազմի տեսչական մարմինների աշխատանքների համակարգման գրասենյակի</w:t>
      </w:r>
      <w:r w:rsidR="00557ED8" w:rsidRPr="00557ED8">
        <w:rPr>
          <w:rFonts w:ascii="GHEA Grapalat" w:hAnsi="GHEA Grapalat"/>
          <w:sz w:val="24"/>
          <w:szCs w:val="24"/>
          <w:lang w:val="hy-AM"/>
        </w:rPr>
        <w:t xml:space="preserve"> </w:t>
      </w:r>
      <w:r w:rsidR="00557ED8">
        <w:rPr>
          <w:rFonts w:ascii="GHEA Grapalat" w:hAnsi="GHEA Grapalat"/>
          <w:sz w:val="24"/>
          <w:szCs w:val="24"/>
          <w:lang w:val="hy-AM"/>
        </w:rPr>
        <w:t xml:space="preserve">և </w:t>
      </w:r>
      <w:r w:rsidR="00557ED8" w:rsidRPr="00CA65FE">
        <w:rPr>
          <w:rFonts w:ascii="GHEA Grapalat" w:hAnsi="GHEA Grapalat"/>
          <w:sz w:val="24"/>
          <w:szCs w:val="24"/>
          <w:lang w:val="hy-AM"/>
        </w:rPr>
        <w:t xml:space="preserve">ՀՀ կրթության տեսչական մարմնի </w:t>
      </w:r>
      <w:r w:rsidRPr="00EB1EA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կողմից համատեղ։</w:t>
      </w:r>
    </w:p>
    <w:p w:rsidR="006C210A" w:rsidRDefault="006C210A" w:rsidP="006C210A">
      <w:pPr>
        <w:spacing w:after="0" w:line="360" w:lineRule="auto"/>
        <w:contextualSpacing/>
        <w:jc w:val="center"/>
        <w:rPr>
          <w:rFonts w:ascii="GHEA Grapalat" w:hAnsi="GHEA Grapalat"/>
          <w:b/>
          <w:bCs/>
          <w:iCs/>
          <w:noProof/>
          <w:lang w:val="hy-AM"/>
        </w:rPr>
      </w:pPr>
    </w:p>
    <w:p w:rsidR="00E90FC0" w:rsidRDefault="00E90FC0" w:rsidP="006C210A">
      <w:pPr>
        <w:spacing w:after="0" w:line="360" w:lineRule="auto"/>
        <w:contextualSpacing/>
        <w:jc w:val="center"/>
        <w:rPr>
          <w:rFonts w:ascii="GHEA Grapalat" w:hAnsi="GHEA Grapalat"/>
          <w:b/>
          <w:bCs/>
          <w:iCs/>
          <w:noProof/>
          <w:lang w:val="hy-AM"/>
        </w:rPr>
      </w:pPr>
    </w:p>
    <w:p w:rsidR="00E90FC0" w:rsidRDefault="00E90FC0" w:rsidP="006C210A">
      <w:pPr>
        <w:spacing w:after="0" w:line="360" w:lineRule="auto"/>
        <w:contextualSpacing/>
        <w:jc w:val="center"/>
        <w:rPr>
          <w:rFonts w:ascii="GHEA Grapalat" w:hAnsi="GHEA Grapalat"/>
          <w:b/>
          <w:bCs/>
          <w:iCs/>
          <w:noProof/>
          <w:lang w:val="hy-AM"/>
        </w:rPr>
      </w:pPr>
    </w:p>
    <w:p w:rsidR="00E90FC0" w:rsidRDefault="00E90FC0" w:rsidP="006C210A">
      <w:pPr>
        <w:spacing w:after="0" w:line="360" w:lineRule="auto"/>
        <w:contextualSpacing/>
        <w:jc w:val="center"/>
        <w:rPr>
          <w:rFonts w:ascii="GHEA Grapalat" w:hAnsi="GHEA Grapalat"/>
          <w:b/>
          <w:bCs/>
          <w:iCs/>
          <w:noProof/>
          <w:lang w:val="hy-AM"/>
        </w:rPr>
      </w:pPr>
    </w:p>
    <w:p w:rsidR="00E90FC0" w:rsidRDefault="00E90FC0" w:rsidP="006C210A">
      <w:pPr>
        <w:spacing w:after="0" w:line="360" w:lineRule="auto"/>
        <w:contextualSpacing/>
        <w:jc w:val="center"/>
        <w:rPr>
          <w:rFonts w:ascii="GHEA Grapalat" w:hAnsi="GHEA Grapalat"/>
          <w:b/>
          <w:bCs/>
          <w:iCs/>
          <w:noProof/>
          <w:lang w:val="hy-AM"/>
        </w:rPr>
      </w:pPr>
    </w:p>
    <w:p w:rsidR="00E90FC0" w:rsidRDefault="00E90FC0" w:rsidP="006C210A">
      <w:pPr>
        <w:spacing w:after="0" w:line="360" w:lineRule="auto"/>
        <w:contextualSpacing/>
        <w:jc w:val="center"/>
        <w:rPr>
          <w:rFonts w:ascii="GHEA Grapalat" w:hAnsi="GHEA Grapalat"/>
          <w:b/>
          <w:bCs/>
          <w:iCs/>
          <w:noProof/>
          <w:lang w:val="hy-AM"/>
        </w:rPr>
      </w:pPr>
    </w:p>
    <w:p w:rsidR="00E90FC0" w:rsidRDefault="00E90FC0" w:rsidP="006C210A">
      <w:pPr>
        <w:spacing w:after="0" w:line="360" w:lineRule="auto"/>
        <w:contextualSpacing/>
        <w:jc w:val="center"/>
        <w:rPr>
          <w:rFonts w:ascii="GHEA Grapalat" w:hAnsi="GHEA Grapalat"/>
          <w:b/>
          <w:bCs/>
          <w:iCs/>
          <w:noProof/>
          <w:lang w:val="hy-AM"/>
        </w:rPr>
      </w:pPr>
    </w:p>
    <w:p w:rsidR="00E90FC0" w:rsidRDefault="00E90FC0" w:rsidP="006C210A">
      <w:pPr>
        <w:spacing w:after="0" w:line="360" w:lineRule="auto"/>
        <w:contextualSpacing/>
        <w:jc w:val="center"/>
        <w:rPr>
          <w:rFonts w:ascii="GHEA Grapalat" w:hAnsi="GHEA Grapalat"/>
          <w:b/>
          <w:bCs/>
          <w:iCs/>
          <w:noProof/>
          <w:lang w:val="hy-AM"/>
        </w:rPr>
      </w:pPr>
    </w:p>
    <w:p w:rsidR="00E90FC0" w:rsidRDefault="00E90FC0" w:rsidP="006C210A">
      <w:pPr>
        <w:spacing w:after="0" w:line="360" w:lineRule="auto"/>
        <w:contextualSpacing/>
        <w:jc w:val="center"/>
        <w:rPr>
          <w:rFonts w:ascii="GHEA Grapalat" w:hAnsi="GHEA Grapalat"/>
          <w:b/>
          <w:bCs/>
          <w:iCs/>
          <w:noProof/>
          <w:lang w:val="hy-AM"/>
        </w:rPr>
      </w:pPr>
    </w:p>
    <w:p w:rsidR="00E90FC0" w:rsidRDefault="00E90FC0" w:rsidP="006C210A">
      <w:pPr>
        <w:spacing w:after="0" w:line="360" w:lineRule="auto"/>
        <w:contextualSpacing/>
        <w:jc w:val="center"/>
        <w:rPr>
          <w:rFonts w:ascii="GHEA Grapalat" w:hAnsi="GHEA Grapalat"/>
          <w:b/>
          <w:bCs/>
          <w:iCs/>
          <w:noProof/>
          <w:lang w:val="hy-AM"/>
        </w:rPr>
      </w:pPr>
    </w:p>
    <w:p w:rsidR="00E90FC0" w:rsidRDefault="00E90FC0" w:rsidP="006C210A">
      <w:pPr>
        <w:spacing w:after="0" w:line="360" w:lineRule="auto"/>
        <w:contextualSpacing/>
        <w:jc w:val="center"/>
        <w:rPr>
          <w:rFonts w:ascii="GHEA Grapalat" w:hAnsi="GHEA Grapalat"/>
          <w:b/>
          <w:bCs/>
          <w:iCs/>
          <w:noProof/>
          <w:lang w:val="hy-AM"/>
        </w:rPr>
      </w:pPr>
    </w:p>
    <w:p w:rsidR="00E90FC0" w:rsidRDefault="00E90FC0" w:rsidP="006C210A">
      <w:pPr>
        <w:spacing w:after="0" w:line="360" w:lineRule="auto"/>
        <w:contextualSpacing/>
        <w:jc w:val="center"/>
        <w:rPr>
          <w:rFonts w:ascii="GHEA Grapalat" w:hAnsi="GHEA Grapalat"/>
          <w:b/>
          <w:bCs/>
          <w:iCs/>
          <w:noProof/>
          <w:lang w:val="hy-AM"/>
        </w:rPr>
      </w:pPr>
    </w:p>
    <w:p w:rsidR="00E90FC0" w:rsidRDefault="00E90FC0" w:rsidP="006C210A">
      <w:pPr>
        <w:spacing w:after="0" w:line="360" w:lineRule="auto"/>
        <w:contextualSpacing/>
        <w:jc w:val="center"/>
        <w:rPr>
          <w:rFonts w:ascii="GHEA Grapalat" w:hAnsi="GHEA Grapalat"/>
          <w:b/>
          <w:bCs/>
          <w:iCs/>
          <w:noProof/>
          <w:lang w:val="hy-AM"/>
        </w:rPr>
      </w:pPr>
    </w:p>
    <w:p w:rsidR="00E90FC0" w:rsidRDefault="00E90FC0" w:rsidP="006C210A">
      <w:pPr>
        <w:spacing w:after="0" w:line="360" w:lineRule="auto"/>
        <w:contextualSpacing/>
        <w:jc w:val="center"/>
        <w:rPr>
          <w:rFonts w:ascii="GHEA Grapalat" w:hAnsi="GHEA Grapalat"/>
          <w:b/>
          <w:bCs/>
          <w:iCs/>
          <w:noProof/>
          <w:lang w:val="hy-AM"/>
        </w:rPr>
      </w:pPr>
    </w:p>
    <w:p w:rsidR="00E90FC0" w:rsidRDefault="00E90FC0" w:rsidP="006C210A">
      <w:pPr>
        <w:spacing w:after="0" w:line="360" w:lineRule="auto"/>
        <w:contextualSpacing/>
        <w:jc w:val="center"/>
        <w:rPr>
          <w:rFonts w:ascii="GHEA Grapalat" w:hAnsi="GHEA Grapalat"/>
          <w:b/>
          <w:bCs/>
          <w:iCs/>
          <w:noProof/>
          <w:lang w:val="hy-AM"/>
        </w:rPr>
      </w:pPr>
    </w:p>
    <w:p w:rsidR="00E90FC0" w:rsidRDefault="00E90FC0" w:rsidP="006C210A">
      <w:pPr>
        <w:spacing w:after="0" w:line="360" w:lineRule="auto"/>
        <w:contextualSpacing/>
        <w:jc w:val="center"/>
        <w:rPr>
          <w:rFonts w:ascii="GHEA Grapalat" w:hAnsi="GHEA Grapalat"/>
          <w:b/>
          <w:bCs/>
          <w:iCs/>
          <w:noProof/>
          <w:lang w:val="hy-AM"/>
        </w:rPr>
      </w:pPr>
    </w:p>
    <w:p w:rsidR="00E90FC0" w:rsidRDefault="00E90FC0" w:rsidP="006C210A">
      <w:pPr>
        <w:spacing w:after="0" w:line="360" w:lineRule="auto"/>
        <w:contextualSpacing/>
        <w:jc w:val="center"/>
        <w:rPr>
          <w:rFonts w:ascii="GHEA Grapalat" w:hAnsi="GHEA Grapalat"/>
          <w:b/>
          <w:bCs/>
          <w:iCs/>
          <w:noProof/>
          <w:lang w:val="hy-AM"/>
        </w:rPr>
      </w:pPr>
    </w:p>
    <w:p w:rsidR="00E90FC0" w:rsidRDefault="00E90FC0" w:rsidP="006C210A">
      <w:pPr>
        <w:spacing w:after="0" w:line="360" w:lineRule="auto"/>
        <w:contextualSpacing/>
        <w:jc w:val="center"/>
        <w:rPr>
          <w:rFonts w:ascii="GHEA Grapalat" w:hAnsi="GHEA Grapalat"/>
          <w:b/>
          <w:bCs/>
          <w:iCs/>
          <w:noProof/>
          <w:lang w:val="hy-AM"/>
        </w:rPr>
      </w:pPr>
    </w:p>
    <w:p w:rsidR="00E90FC0" w:rsidRDefault="00E90FC0" w:rsidP="005A4696">
      <w:pPr>
        <w:spacing w:after="0" w:line="360" w:lineRule="auto"/>
        <w:contextualSpacing/>
        <w:rPr>
          <w:rFonts w:ascii="GHEA Grapalat" w:hAnsi="GHEA Grapalat"/>
          <w:b/>
          <w:bCs/>
          <w:iCs/>
          <w:noProof/>
          <w:lang w:val="hy-AM"/>
        </w:rPr>
      </w:pPr>
    </w:p>
    <w:p w:rsidR="005A4696" w:rsidRDefault="005A4696" w:rsidP="005A4696">
      <w:pPr>
        <w:spacing w:after="0" w:line="360" w:lineRule="auto"/>
        <w:contextualSpacing/>
        <w:rPr>
          <w:rFonts w:ascii="GHEA Grapalat" w:hAnsi="GHEA Grapalat"/>
          <w:b/>
          <w:bCs/>
          <w:iCs/>
          <w:noProof/>
          <w:lang w:val="hy-AM"/>
        </w:rPr>
      </w:pPr>
    </w:p>
    <w:p w:rsidR="000D562A" w:rsidRPr="006C210A" w:rsidRDefault="000D562A">
      <w:pPr>
        <w:rPr>
          <w:lang w:val="hy-AM"/>
        </w:rPr>
      </w:pPr>
    </w:p>
    <w:sectPr w:rsidR="000D562A" w:rsidRPr="006C21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6E"/>
    <w:rsid w:val="00086F62"/>
    <w:rsid w:val="000A113B"/>
    <w:rsid w:val="000D562A"/>
    <w:rsid w:val="00122E04"/>
    <w:rsid w:val="00366E07"/>
    <w:rsid w:val="00557ED8"/>
    <w:rsid w:val="005A4696"/>
    <w:rsid w:val="00644C60"/>
    <w:rsid w:val="0066448A"/>
    <w:rsid w:val="006C210A"/>
    <w:rsid w:val="006E356E"/>
    <w:rsid w:val="006F1E6E"/>
    <w:rsid w:val="007C02E8"/>
    <w:rsid w:val="007E4F4E"/>
    <w:rsid w:val="00804522"/>
    <w:rsid w:val="0099582E"/>
    <w:rsid w:val="00A60BDB"/>
    <w:rsid w:val="00AD245E"/>
    <w:rsid w:val="00BD12FD"/>
    <w:rsid w:val="00C80444"/>
    <w:rsid w:val="00CA532E"/>
    <w:rsid w:val="00CB5E7C"/>
    <w:rsid w:val="00CB6CC5"/>
    <w:rsid w:val="00DC5874"/>
    <w:rsid w:val="00DE736B"/>
    <w:rsid w:val="00E212F5"/>
    <w:rsid w:val="00E70BDF"/>
    <w:rsid w:val="00E9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62018-9763-4267-AD37-0B9B55B1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10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2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21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Khachatryan</dc:creator>
  <cp:keywords/>
  <dc:description/>
  <cp:lastModifiedBy>Syuzanna Gevorgyan</cp:lastModifiedBy>
  <cp:revision>2</cp:revision>
  <dcterms:created xsi:type="dcterms:W3CDTF">2021-04-19T11:51:00Z</dcterms:created>
  <dcterms:modified xsi:type="dcterms:W3CDTF">2021-04-19T11:51:00Z</dcterms:modified>
</cp:coreProperties>
</file>