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41" w:rsidRPr="00FC43B7" w:rsidRDefault="00524E41" w:rsidP="00524E4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bookmarkStart w:id="0" w:name="_GoBack"/>
      <w:r w:rsidRPr="00FC43B7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ՆԱԽԱԳԻԾ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</w:rPr>
      </w:pPr>
      <w:r w:rsidRPr="00CC5BBC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ՀԱՅԱՍՏԱՆԻ ՀԱՆՐԱՊԵՏՈՒԹՅԱՆ 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32"/>
          <w:szCs w:val="32"/>
        </w:rPr>
      </w:pPr>
      <w:r w:rsidRPr="00CC5BBC">
        <w:rPr>
          <w:rFonts w:ascii="GHEA Grapalat" w:eastAsia="Times New Roman" w:hAnsi="GHEA Grapalat" w:cs="Times New Roman"/>
          <w:b/>
          <w:bCs/>
          <w:sz w:val="32"/>
          <w:szCs w:val="32"/>
        </w:rPr>
        <w:t>Օ Ր Ե Ն Ք Ը</w:t>
      </w:r>
    </w:p>
    <w:p w:rsidR="00CC5BBC" w:rsidRPr="00CC5BBC" w:rsidRDefault="00CC5BBC" w:rsidP="00CC5BB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CC5BBC" w:rsidRPr="00CC5BBC" w:rsidRDefault="00CC5BBC" w:rsidP="00CC5BB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CC5BBC">
        <w:rPr>
          <w:rFonts w:ascii="GHEA Grapalat" w:eastAsia="Times New Roman" w:hAnsi="GHEA Grapalat" w:cs="Times New Roman"/>
          <w:b/>
          <w:bCs/>
          <w:sz w:val="26"/>
          <w:szCs w:val="26"/>
        </w:rPr>
        <w:t>ՀԱՆՐԱՅԻՆ ԾԱՌԱՅՈՒԹՅՈՒՆՆԵՐԻ ԿԱՐԳԱՎՈՐՄԱՆ ՊԱՐՏԱԴԻՐ ՎՃԱՐՆԵՐԻ ՄԱՍԻՆ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ԳԼՈՒԽ</w:t>
      </w:r>
      <w:r w:rsidRPr="00CC5BBC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ԸՆԴՀԱՆՈՒՐ ԴՐՈՒՅԹՆԵՐ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CC5BBC" w:rsidRPr="00CC5BBC" w:rsidRDefault="00CC5BBC" w:rsidP="004A6C51">
      <w:pPr>
        <w:spacing w:before="120"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1.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Օրենքի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առարկան</w:t>
      </w:r>
      <w:proofErr w:type="spellEnd"/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օրենքը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Հանրապետությունում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կարգավորվող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ոլորտում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ծառայությ</w:t>
      </w:r>
      <w:proofErr w:type="spellEnd"/>
      <w:r w:rsidR="00C579EC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ն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հաշվարկման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4A6C51">
      <w:pPr>
        <w:spacing w:before="120"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2.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վճարի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հասկացությունը</w:t>
      </w:r>
      <w:proofErr w:type="spellEnd"/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ծառայությունները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կարգավորող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հանձնաժողով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B51D5C" w:rsidRPr="00CC5BBC">
        <w:rPr>
          <w:rFonts w:ascii="GHEA Grapalat" w:eastAsia="Times New Roman" w:hAnsi="GHEA Grapalat" w:cs="Times New Roman"/>
          <w:sz w:val="24"/>
          <w:szCs w:val="24"/>
        </w:rPr>
        <w:t>օրենքներով</w:t>
      </w:r>
      <w:proofErr w:type="spellEnd"/>
      <w:r w:rsidR="00B51D5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51D5C"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B51D5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լիազորությունների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անհրաժեշտ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դրամական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միջոցների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գոյացման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բյուջե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վճարվող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վճարն</w:t>
      </w:r>
      <w:proofErr w:type="spellEnd"/>
      <w:r w:rsidR="00C579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CC5BB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ԳԼՈՒԽ</w:t>
      </w:r>
      <w:r w:rsidRPr="00CC5BBC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2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ԿԱՐԳԱՎՈՐՄԱՆ ՊԱՐՏԱԴԻՐ ՎՃԱՐ ՎՃԱՐՈՂՆԵՐԸ, ՆՐԱՆՑ ԻՐԱՎՈՒՆՔՆԵՐՆ ՈՒ ՊԱՐՏԱԿԱՆՈՒԹՅՈՒՆՆԵՐԸ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CC5BBC" w:rsidRPr="00CC5BBC" w:rsidRDefault="00CC5BBC" w:rsidP="004A6C51">
      <w:pPr>
        <w:spacing w:before="120"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3.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վճար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վճարողները</w:t>
      </w:r>
      <w:proofErr w:type="spellEnd"/>
    </w:p>
    <w:p w:rsid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AE6261" w:rsidRPr="002B23B5" w:rsidRDefault="00AE6261" w:rsidP="00D62B48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. Կարգավորման պարտադիր վճար վճարողներ (այսուհետ` վճարողներ) են համարվում </w:t>
      </w:r>
      <w:r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«Հանրային ծառայությունները կարգավորող մարմնի մասին» օրենքի իմաստով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6985">
        <w:rPr>
          <w:rFonts w:ascii="GHEA Grapalat" w:hAnsi="GHEA Grapalat"/>
          <w:sz w:val="24"/>
          <w:szCs w:val="24"/>
          <w:lang w:val="hy-AM"/>
        </w:rPr>
        <w:t>հանրային ծառայությունների</w:t>
      </w:r>
      <w:r w:rsidR="00851434">
        <w:rPr>
          <w:rFonts w:ascii="GHEA Grapalat" w:hAnsi="GHEA Grapalat"/>
          <w:sz w:val="24"/>
          <w:szCs w:val="24"/>
          <w:lang w:val="hy-AM"/>
        </w:rPr>
        <w:t xml:space="preserve"> </w:t>
      </w:r>
      <w:r w:rsidR="00851434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կարգավորվող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 ոլորտում գործունեություն իրականացնող և ծառայություն մատուցող անձինք, բացառությամբ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AE6261" w:rsidRDefault="00AE6261" w:rsidP="00D62B48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ա)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 էլեկտրա</w:t>
      </w:r>
      <w:r w:rsidR="00CC641F">
        <w:rPr>
          <w:rFonts w:ascii="GHEA Grapalat" w:hAnsi="GHEA Grapalat"/>
          <w:sz w:val="24"/>
          <w:szCs w:val="24"/>
          <w:lang w:val="hy-AM"/>
        </w:rPr>
        <w:t>կան էներգիայի (հզորության) արտադրության լիցենզիա ունեցող այն անձանց, որոնց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41F" w:rsidRPr="00736985">
        <w:rPr>
          <w:rFonts w:ascii="GHEA Grapalat" w:hAnsi="GHEA Grapalat"/>
          <w:sz w:val="24"/>
          <w:szCs w:val="24"/>
          <w:lang w:val="hy-AM"/>
        </w:rPr>
        <w:t>արտադրող կայանների դրվածքային հզորություն</w:t>
      </w:r>
      <w:r w:rsidR="00CC641F">
        <w:rPr>
          <w:rFonts w:ascii="GHEA Grapalat" w:hAnsi="GHEA Grapalat"/>
          <w:sz w:val="24"/>
          <w:szCs w:val="24"/>
          <w:lang w:val="hy-AM"/>
        </w:rPr>
        <w:t>ը միևնույն լիցենզիայի շրջանակում չի գերազանցում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 10 ՄՎտ</w:t>
      </w:r>
      <w:r w:rsidR="00CC641F">
        <w:rPr>
          <w:rFonts w:ascii="GHEA Grapalat" w:hAnsi="GHEA Grapalat"/>
          <w:sz w:val="24"/>
          <w:szCs w:val="24"/>
          <w:lang w:val="hy-AM"/>
        </w:rPr>
        <w:t>-ը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1D09EF" w:rsidRDefault="001D09E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բ)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 էլեկտրա</w:t>
      </w:r>
      <w:r>
        <w:rPr>
          <w:rFonts w:ascii="GHEA Grapalat" w:hAnsi="GHEA Grapalat"/>
          <w:sz w:val="24"/>
          <w:szCs w:val="24"/>
          <w:lang w:val="hy-AM"/>
        </w:rPr>
        <w:t>կան էներգիայի (հզորության) արտադրության լիցենզիա ունեցող այն անձանց, որոնք</w:t>
      </w:r>
      <w:r w:rsidRPr="0073698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գտնվում են կառուցման </w:t>
      </w:r>
      <w:r w:rsidR="00C579EC">
        <w:rPr>
          <w:rFonts w:ascii="GHEA Grapalat" w:hAnsi="GHEA Grapalat"/>
          <w:sz w:val="24"/>
          <w:szCs w:val="24"/>
          <w:lang w:val="hy-AM"/>
        </w:rPr>
        <w:t>ժամանակահատված</w:t>
      </w:r>
      <w:r>
        <w:rPr>
          <w:rFonts w:ascii="GHEA Grapalat" w:hAnsi="GHEA Grapalat"/>
          <w:sz w:val="24"/>
          <w:szCs w:val="24"/>
          <w:lang w:val="hy-AM"/>
        </w:rPr>
        <w:t>ում,</w:t>
      </w:r>
    </w:p>
    <w:p w:rsidR="00AE6261" w:rsidRDefault="001D09EF">
      <w:pPr>
        <w:spacing w:after="0" w:line="360" w:lineRule="auto"/>
        <w:ind w:firstLine="426"/>
        <w:jc w:val="both"/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AE6261">
        <w:rPr>
          <w:rFonts w:ascii="GHEA Grapalat" w:hAnsi="GHEA Grapalat"/>
          <w:sz w:val="24"/>
          <w:szCs w:val="24"/>
          <w:lang w:val="hy-AM"/>
        </w:rPr>
        <w:t xml:space="preserve">)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«Էլեկտրոնային հաղորդակցության մասին» օրենքի համաձայն</w:t>
      </w:r>
      <w:r w:rsidR="00AE6261" w:rsidRPr="002B23B5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հանրային էլեկտրոնային հաղորդակցության ծառայություններ մատուցո</w:t>
      </w:r>
      <w:r w:rsidR="00AE6261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ղների, որոնց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անհրաժեշտ չէ տիրապետել և շահագործել էլեկտրոնային հաղորդակցության ցանց,</w:t>
      </w:r>
    </w:p>
    <w:p w:rsidR="00AE6261" w:rsidRDefault="001D09EF">
      <w:pPr>
        <w:spacing w:after="0" w:line="360" w:lineRule="auto"/>
        <w:ind w:firstLine="426"/>
        <w:jc w:val="both"/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դ</w:t>
      </w:r>
      <w:r w:rsidR="00AE6261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)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էլեկտրոնային հաղորդակցության ցանցի շահագործման համար</w:t>
      </w:r>
      <w:r w:rsidR="00AE6261" w:rsidRPr="002B23B5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ռադիոհաճախականությունների օգտագործման թույլտվություն</w:t>
      </w:r>
      <w:r w:rsidR="00AE6261" w:rsidRPr="002B23B5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ունե</w:t>
      </w:r>
      <w:r w:rsidR="00AE6261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ցող անձանց, որոնք</w:t>
      </w:r>
      <w:r w:rsidR="00AE6261" w:rsidRPr="002B23B5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չեն հանդիսանում հանրային էլեկտրոնային հաղորդակցության ծառայություններ մատուցողներ</w:t>
      </w:r>
      <w:r w:rsidR="00AE6261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,</w:t>
      </w:r>
    </w:p>
    <w:p w:rsidR="00AE6261" w:rsidRDefault="001D09EF">
      <w:pPr>
        <w:spacing w:after="0" w:line="360" w:lineRule="auto"/>
        <w:ind w:firstLine="426"/>
        <w:jc w:val="both"/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ե</w:t>
      </w:r>
      <w:r w:rsidR="00AE6261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) </w:t>
      </w:r>
      <w:r w:rsidR="00AE6261" w:rsidRPr="00B41185">
        <w:rPr>
          <w:rFonts w:ascii="GHEA Grapalat" w:hAnsi="GHEA Grapalat"/>
          <w:sz w:val="24"/>
          <w:szCs w:val="24"/>
          <w:lang w:val="hy-AM"/>
        </w:rPr>
        <w:t xml:space="preserve">հանրային ծառայությունների </w:t>
      </w:r>
      <w:r w:rsidR="0085143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կարգավորվող </w:t>
      </w:r>
      <w:r w:rsidR="00AE6261" w:rsidRPr="00B41185">
        <w:rPr>
          <w:rFonts w:ascii="GHEA Grapalat" w:hAnsi="GHEA Grapalat"/>
          <w:sz w:val="24"/>
          <w:szCs w:val="24"/>
          <w:lang w:val="hy-AM"/>
        </w:rPr>
        <w:t>ոլորտում</w:t>
      </w:r>
      <w:r w:rsidR="00AE6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261" w:rsidRPr="00B41185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="009E5BEB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BEB" w:rsidRPr="00F71565">
        <w:rPr>
          <w:rFonts w:ascii="GHEA Grapalat" w:hAnsi="GHEA Grapalat"/>
          <w:sz w:val="24"/>
          <w:szCs w:val="24"/>
          <w:lang w:val="hy-AM"/>
        </w:rPr>
        <w:t xml:space="preserve">(բացառությամբ </w:t>
      </w:r>
      <w:r w:rsidRPr="00736985">
        <w:rPr>
          <w:rFonts w:ascii="GHEA Grapalat" w:hAnsi="GHEA Grapalat"/>
          <w:sz w:val="24"/>
          <w:szCs w:val="24"/>
          <w:lang w:val="hy-AM"/>
        </w:rPr>
        <w:t>էլեկտրա</w:t>
      </w:r>
      <w:r>
        <w:rPr>
          <w:rFonts w:ascii="GHEA Grapalat" w:hAnsi="GHEA Grapalat"/>
          <w:sz w:val="24"/>
          <w:szCs w:val="24"/>
          <w:lang w:val="hy-AM"/>
        </w:rPr>
        <w:t>կան էներգիայի (հզորության) արտադրության</w:t>
      </w:r>
      <w:r w:rsidR="009E5BEB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էլեկտրական էներգիայի հաղորդման,</w:t>
      </w:r>
      <w:r w:rsidR="009E5BEB">
        <w:rPr>
          <w:rFonts w:ascii="GHEA Grapalat" w:hAnsi="GHEA Grapalat"/>
          <w:sz w:val="24"/>
          <w:szCs w:val="24"/>
          <w:lang w:val="hy-AM"/>
        </w:rPr>
        <w:t xml:space="preserve"> էլեկտրաէներգետիկական համակարգի օպերատորի, էլեկտրաէներգետիկական համակարգի շուկայի օպերատորի</w:t>
      </w:r>
      <w:r w:rsidR="009E5BEB" w:rsidRPr="00F71565">
        <w:rPr>
          <w:rFonts w:ascii="GHEA Grapalat" w:hAnsi="GHEA Grapalat"/>
          <w:sz w:val="24"/>
          <w:szCs w:val="24"/>
          <w:lang w:val="hy-AM"/>
        </w:rPr>
        <w:t xml:space="preserve"> և գազամատակարարման համակարգի</w:t>
      </w:r>
      <w:r w:rsidR="009E5BEB">
        <w:rPr>
          <w:rFonts w:ascii="GHEA Grapalat" w:hAnsi="GHEA Grapalat"/>
          <w:sz w:val="24"/>
          <w:szCs w:val="24"/>
          <w:lang w:val="hy-AM"/>
        </w:rPr>
        <w:t xml:space="preserve"> լիցենզավորված գործ</w:t>
      </w:r>
      <w:r w:rsidR="00054035">
        <w:rPr>
          <w:rFonts w:ascii="GHEA Grapalat" w:hAnsi="GHEA Grapalat"/>
          <w:sz w:val="24"/>
          <w:szCs w:val="24"/>
          <w:lang w:val="hy-AM"/>
        </w:rPr>
        <w:t>ունեությու</w:t>
      </w:r>
      <w:r w:rsidR="009E5BEB">
        <w:rPr>
          <w:rFonts w:ascii="GHEA Grapalat" w:hAnsi="GHEA Grapalat"/>
          <w:sz w:val="24"/>
          <w:szCs w:val="24"/>
          <w:lang w:val="hy-AM"/>
        </w:rPr>
        <w:t>ն</w:t>
      </w:r>
      <w:r w:rsidR="00054035">
        <w:rPr>
          <w:rFonts w:ascii="GHEA Grapalat" w:hAnsi="GHEA Grapalat"/>
          <w:sz w:val="24"/>
          <w:szCs w:val="24"/>
          <w:lang w:val="hy-AM"/>
        </w:rPr>
        <w:t>ների</w:t>
      </w:r>
      <w:r w:rsidR="009E5BEB" w:rsidRPr="00F71565">
        <w:rPr>
          <w:rFonts w:ascii="GHEA Grapalat" w:hAnsi="GHEA Grapalat"/>
          <w:sz w:val="24"/>
          <w:szCs w:val="24"/>
          <w:lang w:val="hy-AM"/>
        </w:rPr>
        <w:t>)</w:t>
      </w:r>
      <w:r w:rsidR="00AE6261" w:rsidRPr="00B41185">
        <w:rPr>
          <w:rFonts w:ascii="GHEA Grapalat" w:hAnsi="GHEA Grapalat"/>
          <w:sz w:val="24"/>
          <w:szCs w:val="24"/>
          <w:lang w:val="hy-AM"/>
        </w:rPr>
        <w:t xml:space="preserve"> իրականացնող և ծառայություն մատուցող</w:t>
      </w:r>
      <w:r w:rsidR="00AE6261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այն անձանց, 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որոնց հաշվետու տարվան նախորդող </w:t>
      </w:r>
      <w:r w:rsidR="00F71565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երկրո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րդ տարվա կարգավորվող գործունեությունից հասույթը չի գերազանցում </w:t>
      </w:r>
      <w:r w:rsidR="00AE6261" w:rsidRPr="006565C2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>500</w:t>
      </w:r>
      <w:r w:rsidR="00AE6261" w:rsidRPr="00B93BAA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 միլիոն դրամը (առանց ավելացված արժեքի հարկի)։</w:t>
      </w:r>
    </w:p>
    <w:p w:rsidR="00AE6261" w:rsidRPr="000058AE" w:rsidRDefault="00AE6261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2. </w:t>
      </w:r>
      <w:r w:rsidRPr="000058A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Հանրային ծառայությունների </w:t>
      </w:r>
      <w:r w:rsidRPr="000058AE">
        <w:rPr>
          <w:rFonts w:ascii="GHEA Grapalat" w:eastAsia="Times New Roman" w:hAnsi="GHEA Grapalat"/>
          <w:color w:val="000000"/>
          <w:spacing w:val="-4"/>
          <w:sz w:val="24"/>
          <w:szCs w:val="24"/>
          <w:lang w:val="hy-AM"/>
        </w:rPr>
        <w:t xml:space="preserve">կարգավորվող </w:t>
      </w:r>
      <w:r w:rsidRPr="000058A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ոլորտում մեկից ավելի </w:t>
      </w:r>
      <w:r w:rsidR="001D09EF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լիցենզիա (թույլտվություն) ունեցող </w:t>
      </w:r>
      <w:r w:rsidRPr="000058A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կարգավորվող</w:t>
      </w:r>
      <w:r w:rsidR="0019672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անձ</w:t>
      </w:r>
      <w:r w:rsidR="00C579EC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ի</w:t>
      </w:r>
      <w:r w:rsidR="0019672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0058A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դեպքում սույն հոդվածի 1-ին մասով սահմանված բացառությունները </w:t>
      </w:r>
      <w:r w:rsidR="000058AE" w:rsidRPr="000058A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դիտարկվ</w:t>
      </w:r>
      <w:r w:rsidRPr="000058A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ում են </w:t>
      </w:r>
      <w:r w:rsidR="000058AE" w:rsidRPr="000058AE">
        <w:rPr>
          <w:rFonts w:ascii="GHEA Grapalat" w:eastAsia="Times New Roman" w:hAnsi="GHEA Grapalat" w:cs="GHEA Grapalat"/>
          <w:sz w:val="24"/>
          <w:szCs w:val="24"/>
          <w:lang w:val="hy-AM"/>
        </w:rPr>
        <w:t>յուրաքանչյուր</w:t>
      </w:r>
      <w:r w:rsidR="000058AE" w:rsidRPr="000058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672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լիցենզիայի (թույլտվության) </w:t>
      </w:r>
      <w:r w:rsidR="000058AE" w:rsidRPr="000058AE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="000058AE" w:rsidRPr="000058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58AE" w:rsidRPr="001A6649">
        <w:rPr>
          <w:rFonts w:ascii="GHEA Grapalat" w:eastAsia="Times New Roman" w:hAnsi="GHEA Grapalat" w:cs="GHEA Grapalat"/>
          <w:sz w:val="24"/>
          <w:szCs w:val="24"/>
          <w:lang w:val="hy-AM"/>
        </w:rPr>
        <w:t>առանձին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։</w:t>
      </w:r>
    </w:p>
    <w:p w:rsidR="00CC5BBC" w:rsidRPr="00F71565" w:rsidRDefault="00CC5BBC" w:rsidP="004A6C51">
      <w:pPr>
        <w:spacing w:before="120"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33792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Վճարողների իրավունքները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Վճարողներն իրավունք ունեն`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ա) Հայաստանի Հանրապետության հարկային օրենսգրքով և օրենսդրությամբ սահմանված կարգով բողոքարկելու հարկային մարմնի պաշտոնատար անձանց որոշումները, գործողությունները կամ անգործությունը, ինչպես նաև հանձնաժողովի գործողությունները.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բ) կարգավորման պարտադիր վճարի վճարման մասին հարկային մարմնից ստանալու տեղեկանք.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գ) պահանջելու սույն օրենքով սահմանված կարգավորման պարտադիր վճարի գումարից ավելի վճարված գումարները մուտքագրելու միասնական հաշվին:</w:t>
      </w:r>
    </w:p>
    <w:p w:rsidR="00CC5BBC" w:rsidRPr="00F71565" w:rsidRDefault="00CC5BBC" w:rsidP="004A6C51">
      <w:pPr>
        <w:spacing w:before="120"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4D4D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Վճարողների պարտականությունները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Վճարողները պարտավոր են`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ա) ժամանակին և լրիվ վճարել սույն օրենքով սահմանված կարգավորման պարտադիր վճարը.</w:t>
      </w:r>
    </w:p>
    <w:p w:rsidR="00CC5BBC" w:rsidRPr="00F7156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բ) սույն օրենքով սահմանված դեպքերում Հայաստանի Հանրապետության պետական բյուջե վճարել հաշվարկված տույժերի</w:t>
      </w:r>
      <w:r w:rsidRPr="00F7156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71565">
        <w:rPr>
          <w:rFonts w:ascii="GHEA Grapalat" w:eastAsia="Times New Roman" w:hAnsi="GHEA Grapalat" w:cs="GHEA Grapalat"/>
          <w:sz w:val="24"/>
          <w:szCs w:val="24"/>
          <w:lang w:val="hy-AM"/>
        </w:rPr>
        <w:t>գումարները</w:t>
      </w:r>
      <w:r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C5BBC" w:rsidRPr="00692C6F" w:rsidRDefault="00CC5BBC" w:rsidP="00692C6F">
      <w:pPr>
        <w:spacing w:before="120" w:after="0" w:line="360" w:lineRule="auto"/>
        <w:ind w:firstLine="37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4D4D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Կարգավորման պարտադիր վճարի վճարման պարտավորության դադարումը</w:t>
      </w:r>
    </w:p>
    <w:p w:rsidR="00CC5BBC" w:rsidRDefault="007E57BE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7E57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C5BBC"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Վճարողների կարգավորման պարտադիր վճարի վճարման պարտավորությունը դադարում է այդ պարտականության կատարումով, օրենքով կարգավորման պարտադիր վճարի վճարումից ազատումով, լիցենզիայի կամ թույլտվության գործողության դադարումով կամ օրենքով սահմանված այլ հիմքերով:</w:t>
      </w:r>
      <w:r w:rsidR="00182877" w:rsidRPr="00182877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="007F733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Հանրային ծառայության կարգավորվող ոլորտում </w:t>
      </w:r>
      <w:r w:rsidR="00182877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գործունեության կասեցումը</w:t>
      </w:r>
      <w:r w:rsidR="00182877" w:rsidRPr="001D5E1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="00182877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վճարողին </w:t>
      </w:r>
      <w:r w:rsidR="00182877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չի </w:t>
      </w:r>
      <w:r w:rsidR="00182877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ազատում </w:t>
      </w:r>
      <w:r w:rsidR="00182877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կարգավորման պարտադիր վճար վճարելու պարտավորությ</w:t>
      </w:r>
      <w:r w:rsidR="00182877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ու</w:t>
      </w:r>
      <w:r w:rsidR="00182877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ն</w:t>
      </w:r>
      <w:r w:rsidR="00182877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ից</w:t>
      </w:r>
      <w:r w:rsidR="00182877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։</w:t>
      </w:r>
    </w:p>
    <w:p w:rsidR="00116918" w:rsidRDefault="007E57BE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1D5E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="00D84070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1169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ճարողի </w:t>
      </w:r>
      <w:r w:rsidR="00AD7B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ամբողջ </w:t>
      </w:r>
      <w:r w:rsidR="001169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գույքի ձեռքբերման </w:t>
      </w:r>
      <w:r w:rsidR="00E64012">
        <w:rPr>
          <w:rFonts w:ascii="GHEA Grapalat" w:eastAsia="Times New Roman" w:hAnsi="GHEA Grapalat" w:cs="Times New Roman"/>
          <w:sz w:val="24"/>
          <w:szCs w:val="24"/>
          <w:lang w:val="hy-AM"/>
        </w:rPr>
        <w:t>արդյունք</w:t>
      </w:r>
      <w:r w:rsidR="001169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11691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հանրային ծառայությունների կարգավորվող ոլորտում գործունեությ</w:t>
      </w:r>
      <w:r w:rsidR="00E640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ա</w:t>
      </w:r>
      <w:r w:rsidR="0011691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ն լիցենզիա կամ թույլտվություն</w:t>
      </w:r>
      <w:r w:rsidR="00E640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ստացած անձը (</w:t>
      </w:r>
      <w:r w:rsidR="00E64012">
        <w:rPr>
          <w:rFonts w:ascii="GHEA Grapalat" w:eastAsia="Times New Roman" w:hAnsi="GHEA Grapalat" w:cs="Times New Roman"/>
          <w:sz w:val="24"/>
          <w:szCs w:val="24"/>
          <w:lang w:val="hy-AM"/>
        </w:rPr>
        <w:t>նոր վ</w:t>
      </w:r>
      <w:r w:rsidR="00E640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ճարող) համապատասխան լիցենզիան կամ թույլտվությունն </w:t>
      </w:r>
      <w:r w:rsidR="0011691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ուժի մեջ մտնելու</w:t>
      </w:r>
      <w:r w:rsidR="0070152A" w:rsidRP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ամսվանից սկսած տվյալ տարվա մնացած ամիսների համար շարունակում է վճարել</w:t>
      </w:r>
      <w:r w:rsidR="0070152A" w:rsidRPr="00876055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նախորդ վճարողի համար սահմանված </w:t>
      </w:r>
      <w:r w:rsidR="0070152A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կարգավորման պարտադիր վճար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ը: </w:t>
      </w:r>
      <w:r w:rsidR="006D3613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Գ</w:t>
      </w:r>
      <w:r w:rsidR="0070152A">
        <w:rPr>
          <w:rFonts w:ascii="GHEA Grapalat" w:eastAsia="Times New Roman" w:hAnsi="GHEA Grapalat" w:cs="Times New Roman"/>
          <w:sz w:val="24"/>
          <w:szCs w:val="24"/>
          <w:lang w:val="hy-AM"/>
        </w:rPr>
        <w:t>ույքը մեկից ավելի վ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ճարողների կողմից </w:t>
      </w:r>
      <w:r w:rsidR="007015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ձեռք բերելու 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դեպքում </w:t>
      </w:r>
      <w:r w:rsidR="00E640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սույն մասով նախատեսված </w:t>
      </w:r>
      <w:r w:rsidR="0070152A" w:rsidRPr="00B93BA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կարգավորման պարտադիր վճար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ը նոր վճարողների միջև բաշխվում է </w:t>
      </w:r>
      <w:r w:rsidR="00E640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ձեռքբերվող գույքի արժեքի համամասնությամբ</w:t>
      </w:r>
      <w:r w:rsidR="0070152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։</w:t>
      </w:r>
    </w:p>
    <w:p w:rsidR="00116918" w:rsidRDefault="0070152A" w:rsidP="006D3613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1D5E1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յն հոդվածի 2-րդ մասում նշված </w:t>
      </w:r>
      <w:r w:rsidR="00E6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վճարողի՝ 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հանրային ծառայությունների կարգավորվող ոլորտում գործունեությ</w:t>
      </w:r>
      <w:r w:rsidR="00E6401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ն լիցենզիան կամ թույլտվությունն ուժի մեջ մտնելու տարվան հաջորդ երկու տարիների համար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կարգավորման պարտադիր վճարի հաշվարկում 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սույն օրենքի 7-րդ հոդվածի 2-րդ մաս</w:t>
      </w:r>
      <w:r w:rsidR="006D3613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ով նախատեսված </w:t>
      </w:r>
      <w:r w:rsidR="006D361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հաշվետու տարվան նախորդող երկրորդ տարվա </w:t>
      </w:r>
      <w:r w:rsidR="006D3613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իրացման շրջանառությ</w:t>
      </w:r>
      <w:r w:rsidR="006D3613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6D3613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6D36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փոխարեն </w:t>
      </w:r>
      <w:r w:rsidR="00497A87">
        <w:rPr>
          <w:rFonts w:ascii="GHEA Grapalat" w:eastAsia="Times New Roman" w:hAnsi="GHEA Grapalat" w:cs="Times New Roman"/>
          <w:sz w:val="24"/>
          <w:szCs w:val="24"/>
          <w:lang w:val="hy-AM"/>
        </w:rPr>
        <w:t>հաշվի</w:t>
      </w:r>
      <w:r w:rsidR="006D36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="00497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առնվում</w:t>
      </w:r>
      <w:r w:rsidR="006D36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E6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հաշվետու տարվա </w:t>
      </w:r>
      <w:r w:rsidR="006D3613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կանխատեսվող </w:t>
      </w:r>
      <w:r w:rsidR="006D3613" w:rsidRPr="002815B0">
        <w:rPr>
          <w:rFonts w:ascii="GHEA Grapalat" w:eastAsia="Times New Roman" w:hAnsi="GHEA Grapalat" w:cs="Times New Roman"/>
          <w:sz w:val="24"/>
          <w:szCs w:val="24"/>
          <w:lang w:val="hy-AM"/>
        </w:rPr>
        <w:t>իրացման շրջանառությ</w:t>
      </w:r>
      <w:r w:rsidR="006D3613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6D3613" w:rsidRPr="002815B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6D3613">
        <w:rPr>
          <w:rFonts w:ascii="GHEA Grapalat" w:eastAsia="Times New Roman" w:hAnsi="GHEA Grapalat" w:cs="Times New Roman"/>
          <w:sz w:val="24"/>
          <w:szCs w:val="24"/>
          <w:lang w:val="hy-AM"/>
        </w:rPr>
        <w:t>ը։</w:t>
      </w:r>
      <w:r w:rsidR="00AD7B56" w:rsidRPr="001D5E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C5BBC" w:rsidRPr="00F71565" w:rsidRDefault="00CC5BBC" w:rsidP="00CC5BB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C5BBC" w:rsidRPr="00F71565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ԳԼՈՒԽ 3</w:t>
      </w:r>
    </w:p>
    <w:p w:rsidR="00CC5BBC" w:rsidRPr="00F71565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F7156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ԿԱՐԳԱՎՈՐՄԱՆ ՊԱՐՏԱԴԻՐ ՎՃԱՐՆԵՐԻ ՏԱՐԵԿԱՆ ԴՐՈՒՅՔԱՉԱՓԵՐԻ ՀԱՇՎԱՐԿՄԱՆ ԵՎ ՀԱՍՏԱՏՄԱՆ ԿԱՐԳԸ</w:t>
      </w:r>
    </w:p>
    <w:p w:rsidR="00CC5BBC" w:rsidRPr="00F71565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8"/>
        <w:gridCol w:w="8617"/>
      </w:tblGrid>
      <w:tr w:rsidR="00CC5BBC" w:rsidRPr="00076438" w:rsidTr="00CC5BBC">
        <w:trPr>
          <w:tblCellSpacing w:w="6" w:type="dxa"/>
        </w:trPr>
        <w:tc>
          <w:tcPr>
            <w:tcW w:w="1620" w:type="dxa"/>
            <w:hideMark/>
          </w:tcPr>
          <w:p w:rsidR="00CC5BBC" w:rsidRPr="002815B0" w:rsidRDefault="00CC5BBC" w:rsidP="004A6C51">
            <w:pPr>
              <w:spacing w:before="12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15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Հոդված </w:t>
            </w:r>
            <w:r w:rsidR="004D4DE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7</w:t>
            </w:r>
            <w:r w:rsidRPr="002815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hideMark/>
          </w:tcPr>
          <w:p w:rsidR="00CC5BBC" w:rsidRPr="00AD7B56" w:rsidRDefault="00CC5BBC">
            <w:pPr>
              <w:spacing w:before="12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815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Կարգավորման պարտադիր վճա</w:t>
            </w:r>
            <w:r w:rsidRPr="00AD7B5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րների տարեկան դրույքաչափերի հաշվարկման և հաստատման կարգը</w:t>
            </w:r>
          </w:p>
        </w:tc>
      </w:tr>
    </w:tbl>
    <w:p w:rsidR="00CC5BBC" w:rsidRPr="00AD7B56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7B56">
        <w:rPr>
          <w:rFonts w:ascii="GHEA Grapalat" w:eastAsia="Times New Roman" w:hAnsi="GHEA Grapalat" w:cs="Times New Roman"/>
          <w:sz w:val="24"/>
          <w:szCs w:val="24"/>
          <w:lang w:val="hy-AM"/>
        </w:rPr>
        <w:t>1. Կարգավորման պարտադիր վճարների տարեկան դրույքաչափերի հաշվարկման համար հիմք է ընդունվում հանձնաժողովի յուրաքանչյուր տարվա համար օրենքով սահմանված կարգով հաշվարկված պահպանման ծախսերի մեծությունը (ՀՊԾ)</w:t>
      </w:r>
      <w:r w:rsidR="00662319">
        <w:rPr>
          <w:rFonts w:ascii="GHEA Grapalat" w:eastAsia="Times New Roman" w:hAnsi="GHEA Grapalat" w:cs="Times New Roman"/>
          <w:sz w:val="24"/>
          <w:szCs w:val="24"/>
          <w:lang w:val="hy-AM"/>
        </w:rPr>
        <w:t>, որը առանձնացվում է հանձնաժողովի ընթացիկ գործառույթների իրականացման ծախսերի</w:t>
      </w:r>
      <w:r w:rsidR="00181F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(ԸԾ)</w:t>
      </w:r>
      <w:r w:rsidR="00181F77" w:rsidRPr="00AD7B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81F77">
        <w:rPr>
          <w:rFonts w:ascii="GHEA Grapalat" w:eastAsia="Times New Roman" w:hAnsi="GHEA Grapalat" w:cs="Times New Roman"/>
          <w:sz w:val="24"/>
          <w:szCs w:val="24"/>
          <w:lang w:val="hy-AM"/>
        </w:rPr>
        <w:t>և հանձնաժողովի լիազորությունների ապահովման նպատակով իրականացվող (իրականացվելիք) ծրագրերի, միջոցառումների և (կամ) գործառույթների, առանձնահատուկ դեպքերում կապիտալ ծախսերի կատարման անհրաժեշտությամբ պայմանավորված ծախսերի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81F7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 նպատակային ծախսեր՝ Ն</w:t>
      </w:r>
      <w:r w:rsidR="00181F77">
        <w:rPr>
          <w:rFonts w:ascii="GHEA Grapalat" w:eastAsia="Times New Roman" w:hAnsi="GHEA Grapalat" w:cs="Times New Roman"/>
          <w:sz w:val="24"/>
          <w:szCs w:val="24"/>
          <w:lang w:val="hy-AM"/>
        </w:rPr>
        <w:t>Ծ)</w:t>
      </w:r>
      <w:r w:rsidRPr="00AD7B5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C5BBC" w:rsidRPr="00AD7B56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7B56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հոդվածի առաջին մասում նշված ծախսերի իրականացման համար անհրաժեշտ դրամական միջոցների գոյացման նպատակով հանձնաժողովը հաշվարկում է`</w:t>
      </w:r>
    </w:p>
    <w:p w:rsidR="00CC5BBC" w:rsidRPr="009940BA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ա) վճարողների ընդհանուր իրացման շրջանառությունը (ԻՇ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ը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16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հանրային ծառայության </w:t>
      </w:r>
      <w:r w:rsidR="00A875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յուրաքանչյուր </w:t>
      </w:r>
      <w:r w:rsidR="00FF4A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կարգավորվող </w:t>
      </w:r>
      <w:r w:rsidR="002D16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ոլորտի 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իրացման շրջանառությունը (ԻՇ</w:t>
      </w:r>
      <w:r w:rsidR="002D1615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Ո1</w:t>
      </w:r>
      <w:r w:rsidR="002D16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ԻՇ</w:t>
      </w:r>
      <w:r w:rsidR="002D1615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Ո2</w:t>
      </w:r>
      <w:r w:rsidR="002D16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ԻՇ</w:t>
      </w:r>
      <w:r w:rsidR="002D1615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Ո3</w:t>
      </w:r>
      <w:r w:rsidR="002D16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….. ԻՇ</w:t>
      </w:r>
      <w:r w:rsidR="002D1615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Ո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n</w:t>
      </w:r>
      <w:r w:rsidR="002D1615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` հաշվի առնելով յուրաքանչյուր վճարողի (Վ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1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, Վ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2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, Վ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3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….. Վ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n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153D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ծառայության կարգավորվող ոլորտում </w:t>
      </w:r>
      <w:r w:rsidR="00F62F84" w:rsidRPr="000058AE">
        <w:rPr>
          <w:rFonts w:ascii="GHEA Grapalat" w:eastAsia="Times New Roman" w:hAnsi="GHEA Grapalat" w:cs="GHEA Grapalat"/>
          <w:sz w:val="24"/>
          <w:szCs w:val="24"/>
          <w:lang w:val="hy-AM"/>
        </w:rPr>
        <w:t>գործունեությ</w:t>
      </w:r>
      <w:r w:rsidR="00153D53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="00F62F84" w:rsidRPr="000058AE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153D5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(յուրաքանչյուր լիցենզիայի (թույլտվության) համար առանձին)</w:t>
      </w:r>
      <w:r w:rsidR="00F62F8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հաշվետու տարվան նախորդող երկրորդ տարվա</w:t>
      </w:r>
      <w:r w:rsidR="008C257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(սույն օրենքի </w:t>
      </w:r>
      <w:r w:rsidR="006D3613">
        <w:rPr>
          <w:rFonts w:ascii="GHEA Grapalat" w:eastAsia="Times New Roman" w:hAnsi="GHEA Grapalat" w:cs="GHEA Grapalat"/>
          <w:sz w:val="24"/>
          <w:szCs w:val="24"/>
          <w:lang w:val="hy-AM"/>
        </w:rPr>
        <w:t>6-րդ հոդվածի 3</w:t>
      </w:r>
      <w:r w:rsidR="008C2576">
        <w:rPr>
          <w:rFonts w:ascii="GHEA Grapalat" w:eastAsia="Times New Roman" w:hAnsi="GHEA Grapalat" w:cs="GHEA Grapalat"/>
          <w:sz w:val="24"/>
          <w:szCs w:val="24"/>
          <w:lang w:val="hy-AM"/>
        </w:rPr>
        <w:t>-րդ մասով նախատեսված դեպքում հաշվետու տարվա կանխատեսվող)</w:t>
      </w:r>
      <w:r w:rsidR="00F62F84"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իրացման շրջանառությունը (ԻՇ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1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, ԻՇ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2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>, ԻՇ</w:t>
      </w:r>
      <w:r w:rsidRPr="0070152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3</w:t>
      </w:r>
      <w:r w:rsidRPr="007015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…… 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ԻՇ</w:t>
      </w:r>
      <w:r w:rsidRPr="009940B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n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)` առանց ավելացված արժեքի հարկի գումարների.</w:t>
      </w:r>
    </w:p>
    <w:p w:rsidR="00CC5BBC" w:rsidRPr="009940BA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բ) ընդհանուր իրացման շրջանառության մեջ յուրաքանչյուր վճարողի իրացման շրջանառության տեսակարար կշիռը (ՏԿ</w:t>
      </w:r>
      <w:r w:rsidR="00F62F8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1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, ՏԿ</w:t>
      </w:r>
      <w:r w:rsidR="00F62F8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2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, ՏԿ</w:t>
      </w:r>
      <w:r w:rsidR="00F62F8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3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….. ՏԿ</w:t>
      </w:r>
      <w:r w:rsidR="00F62F8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n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</w:p>
    <w:p w:rsidR="00F62F84" w:rsidRPr="00F62F84" w:rsidRDefault="00F62F84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գ) </w:t>
      </w:r>
      <w:r w:rsidR="00AB3A2B"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 ծառայությ</w:t>
      </w:r>
      <w:r w:rsidR="00EA182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AB3A2B"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5402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3D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</w:t>
      </w:r>
      <w:r w:rsidR="0054021A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կարգավորվող</w:t>
      </w:r>
      <w:r w:rsidR="00AB3A2B"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ոլորտ</w:t>
      </w:r>
      <w:r w:rsidR="00AB3A2B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իրացման շրջանառության մեջ յուրաքանչյուր վճարողի իրացման շրջանառության տեսակարար կշիռը (ՏԿ</w:t>
      </w:r>
      <w:r w:rsidR="00B75384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1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, ՏԿ</w:t>
      </w:r>
      <w:r w:rsidR="00B75384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2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, ՏԿ</w:t>
      </w:r>
      <w:r w:rsidR="00B75384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3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….. ՏԿ</w:t>
      </w:r>
      <w:r w:rsidR="00B75384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9940BA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n</w:t>
      </w:r>
      <w:r w:rsidRPr="009940BA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</w:p>
    <w:p w:rsidR="00CC5BBC" w:rsidRPr="004F15C1" w:rsidRDefault="00B75384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) յուրաքանչյուր վճարողի կարգավորման պարտադիր վճարի տարեկան դրույքաչափը (Դ</w:t>
      </w:r>
      <w:r w:rsidR="00CC5BBC" w:rsidRPr="004F15C1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1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, Դ</w:t>
      </w:r>
      <w:r w:rsidR="00CC5BBC" w:rsidRPr="004F15C1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2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, Դ</w:t>
      </w:r>
      <w:r w:rsidR="00CC5BBC" w:rsidRPr="004F15C1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3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………Դ</w:t>
      </w:r>
      <w:r w:rsidR="00CC5BBC" w:rsidRPr="004F15C1">
        <w:rPr>
          <w:rFonts w:ascii="GHEA Grapalat" w:eastAsia="Times New Roman" w:hAnsi="GHEA Grapalat" w:cs="Times New Roman"/>
          <w:sz w:val="20"/>
          <w:szCs w:val="20"/>
          <w:vertAlign w:val="subscript"/>
          <w:lang w:val="hy-AM"/>
        </w:rPr>
        <w:t>n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)՝ որպես </w:t>
      </w:r>
      <w:r w:rsidR="005C41AF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ընդհանուր իրացման շրջանառության մեջ 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յուրաքանչյուր վճարողի 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իրացման շրջանառության տեսակարար կշռի </w:t>
      </w:r>
      <w:r w:rsidR="00562EA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562EA7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</w:t>
      </w:r>
      <w:r w:rsidR="004F15C1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</w:t>
      </w:r>
      <w:r w:rsidR="004F15C1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</w:t>
      </w:r>
      <w:r w:rsid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ընթացիկ գործառույթների իրականացման 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ծախսերի մեծության (</w:t>
      </w:r>
      <w:r w:rsidR="004F15C1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Ծ) արտադրյալ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և </w:t>
      </w:r>
      <w:r w:rsidR="005C41AF" w:rsidRPr="005C41AF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 ծառայությ</w:t>
      </w:r>
      <w:r w:rsidR="00EA182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5C41AF" w:rsidRPr="005C41A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153D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տվյալ</w:t>
      </w:r>
      <w:r w:rsidR="005C41AF" w:rsidRPr="005C4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3E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կարգավորվող </w:t>
      </w:r>
      <w:r w:rsidR="005C41AF" w:rsidRPr="005C41AF">
        <w:rPr>
          <w:rFonts w:ascii="GHEA Grapalat" w:eastAsia="Times New Roman" w:hAnsi="GHEA Grapalat" w:cs="Times New Roman"/>
          <w:sz w:val="24"/>
          <w:szCs w:val="24"/>
          <w:lang w:val="hy-AM"/>
        </w:rPr>
        <w:t>ոլորտ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>ի մեջ</w:t>
      </w:r>
      <w:r w:rsidR="005C41AF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յուրաքանչյուր վճարողի իրացման շրջանառության տեսակարար կշռի 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5C41AF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</w:t>
      </w:r>
      <w:r w:rsidR="005C41AF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տարվա 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նպատակային </w:t>
      </w:r>
      <w:r w:rsidR="005C41AF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ծախսերի մեծության (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5C41AF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Ծ) արտադրյալ</w:t>
      </w:r>
      <w:r w:rsidR="005C41AF">
        <w:rPr>
          <w:rFonts w:ascii="GHEA Grapalat" w:eastAsia="Times New Roman" w:hAnsi="GHEA Grapalat" w:cs="Times New Roman"/>
          <w:sz w:val="24"/>
          <w:szCs w:val="24"/>
          <w:lang w:val="hy-AM"/>
        </w:rPr>
        <w:t>ի հանրագումար</w:t>
      </w:r>
      <w:r w:rsidR="00CC5BBC" w:rsidRPr="004F15C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Սույն հոդվածի </w:t>
      </w:r>
      <w:r w:rsidR="00426021">
        <w:rPr>
          <w:rFonts w:ascii="GHEA Grapalat" w:eastAsia="Times New Roman" w:hAnsi="GHEA Grapalat" w:cs="Times New Roman"/>
          <w:sz w:val="24"/>
          <w:szCs w:val="24"/>
          <w:lang w:val="hy-AM"/>
        </w:rPr>
        <w:t>2-</w:t>
      </w:r>
      <w:r w:rsidR="00426021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 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մասում նշված հաշվարկների սխեման ներկայացվում է սույն օրենքի բաղկացուցիչ մասը կազմող հավելվածում:</w:t>
      </w:r>
    </w:p>
    <w:p w:rsidR="00811612" w:rsidRPr="009B4C25" w:rsidRDefault="00811612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8116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D7C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հոդվածի </w:t>
      </w:r>
      <w:r w:rsidR="00426021">
        <w:rPr>
          <w:rFonts w:ascii="GHEA Grapalat" w:eastAsia="Times New Roman" w:hAnsi="GHEA Grapalat" w:cs="Times New Roman"/>
          <w:sz w:val="24"/>
          <w:szCs w:val="24"/>
          <w:lang w:val="hy-AM"/>
        </w:rPr>
        <w:t>2-</w:t>
      </w:r>
      <w:r w:rsidRPr="00AD7C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 մասի համաձայն՝ հանձնաժողովի կողմից իրականացվող հաշվարկների նախագիծը </w:t>
      </w:r>
      <w:r w:rsidR="00AD7C6D" w:rsidRPr="00AD7C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լիազոր մարմին է </w:t>
      </w:r>
      <w:r w:rsidRPr="00AD7C6D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ներկայացվում է յուրաքանչյուր տարվա բյուջետային գործընթացի համար սահմանված կարգով և ժամկետներում հանձնաժողովի պահպանման ծախսերի նախահաշվի հետ միասին</w:t>
      </w:r>
      <w:r w:rsidR="00AD7C6D" w:rsidRPr="00AD7C6D">
        <w:rPr>
          <w:rFonts w:ascii="GHEA Grapalat" w:eastAsia="Times New Roman" w:hAnsi="GHEA Grapalat" w:cs="Times New Roman"/>
          <w:sz w:val="24"/>
          <w:szCs w:val="24"/>
          <w:lang w:val="hy-AM"/>
        </w:rPr>
        <w:t>, որն այնուհետև կարող է ճշգրտվել սույն հոդվածի 5-րդ մասով նախատեսված ժամկետում</w:t>
      </w:r>
      <w:r w:rsidRPr="00AD7C6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C5BBC" w:rsidRPr="009B4C25" w:rsidRDefault="00811612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1161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C5BBC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հոդվածի </w:t>
      </w:r>
      <w:r w:rsidR="00426021">
        <w:rPr>
          <w:rFonts w:ascii="GHEA Grapalat" w:eastAsia="Times New Roman" w:hAnsi="GHEA Grapalat" w:cs="Times New Roman"/>
          <w:sz w:val="24"/>
          <w:szCs w:val="24"/>
          <w:lang w:val="hy-AM"/>
        </w:rPr>
        <w:t>2-</w:t>
      </w:r>
      <w:r w:rsidR="00426021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 </w:t>
      </w:r>
      <w:r w:rsidR="00CC5BBC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 համաձայն՝ հանձնաժողովի կողմից </w:t>
      </w:r>
      <w:r w:rsidR="00C979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հաշվետու տարվա </w:t>
      </w:r>
      <w:r w:rsidR="00AD7C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վճարողների անվանական կազմը, </w:t>
      </w:r>
      <w:r w:rsidR="00CC5BBC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կարգավորման պարտադիր վճարների տարեկան դրույքաչափերը</w:t>
      </w:r>
      <w:r w:rsidR="00C979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(այդ թվում՝ ըստ ամիսների)</w:t>
      </w:r>
      <w:r w:rsidR="00CC5BBC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հաշվարկվում և համապատասխան որոշմամբ հաստատվում են </w:t>
      </w:r>
      <w:r w:rsidR="00E72327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</w:t>
      </w:r>
      <w:r w:rsidR="00C979EE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տարվան նախորդող տարվա ավարտը</w:t>
      </w:r>
      <w:r w:rsidR="00CC5BBC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979EE" w:rsidRPr="00E72327" w:rsidRDefault="00AD7C6D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979EE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E72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Կարգավորման պարտադիր վճարների տարեկան դրույքաչափերը հաշվետու տարվա ընթացքում կարող են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փո</w:t>
      </w:r>
      <w:r w:rsidR="00E72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փոխվել </w:t>
      </w:r>
      <w:r w:rsidR="00E72327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</w:t>
      </w:r>
      <w:r w:rsidR="00E72327">
        <w:rPr>
          <w:rFonts w:ascii="GHEA Grapalat" w:eastAsia="Times New Roman" w:hAnsi="GHEA Grapalat" w:cs="Times New Roman"/>
          <w:sz w:val="24"/>
          <w:szCs w:val="24"/>
          <w:lang w:val="hy-AM"/>
        </w:rPr>
        <w:t>տվյալ տարվա</w:t>
      </w:r>
      <w:r w:rsidR="00E72327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պահպանման ծախսերի մեծությ</w:t>
      </w:r>
      <w:r w:rsidR="00E72327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72327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ն (ՀՊԾ)</w:t>
      </w:r>
      <w:r w:rsidR="00E72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փոփոխությամբ</w:t>
      </w:r>
      <w:r w:rsidR="004E6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հաշվետու տարվա վճարողների անվանական ցանկում ներառված </w:t>
      </w:r>
      <w:r w:rsidR="00072385">
        <w:rPr>
          <w:rFonts w:ascii="GHEA Grapalat" w:eastAsia="Times New Roman" w:hAnsi="GHEA Grapalat" w:cs="Times New Roman"/>
          <w:sz w:val="24"/>
          <w:szCs w:val="24"/>
          <w:lang w:val="hy-AM"/>
        </w:rPr>
        <w:t>և հանձնաժողովի պահպանման ծախսերի մեծության մեջ 0</w:t>
      </w:r>
      <w:r w:rsidR="00072385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723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 տոկոսից ավելի տեսակարար կշիռ ունեցող </w:t>
      </w:r>
      <w:r w:rsidR="004E6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որևէ վճարողի՝ </w:t>
      </w:r>
      <w:r w:rsidR="004E64A3"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օրենքով կարգավորման պարտադիր վճարի վճարումից ազատ</w:t>
      </w:r>
      <w:r w:rsidR="004E64A3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3E5329">
        <w:rPr>
          <w:rFonts w:ascii="GHEA Grapalat" w:eastAsia="Times New Roman" w:hAnsi="GHEA Grapalat" w:cs="Times New Roman"/>
          <w:sz w:val="24"/>
          <w:szCs w:val="24"/>
          <w:lang w:val="hy-AM"/>
        </w:rPr>
        <w:t>մբ կամ</w:t>
      </w:r>
      <w:r w:rsidR="004E64A3"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լիցենզիայի </w:t>
      </w:r>
      <w:r w:rsidR="003E532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4E64A3"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>թույլտվության</w:t>
      </w:r>
      <w:r w:rsidR="003E532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E64A3"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գործողության դադար</w:t>
      </w:r>
      <w:r w:rsidR="003E5329">
        <w:rPr>
          <w:rFonts w:ascii="GHEA Grapalat" w:eastAsia="Times New Roman" w:hAnsi="GHEA Grapalat" w:cs="Times New Roman"/>
          <w:sz w:val="24"/>
          <w:szCs w:val="24"/>
          <w:lang w:val="hy-AM"/>
        </w:rPr>
        <w:t>եցման</w:t>
      </w:r>
      <w:r w:rsidR="004E64A3" w:rsidRPr="00F715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հիմքով</w:t>
      </w:r>
      <w:r w:rsidR="000723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կարգավորման պարտադիր վճարի վճարման պարտավորության դադար</w:t>
      </w:r>
      <w:r w:rsidR="003E5329">
        <w:rPr>
          <w:rFonts w:ascii="GHEA Grapalat" w:eastAsia="Times New Roman" w:hAnsi="GHEA Grapalat" w:cs="Times New Roman"/>
          <w:sz w:val="24"/>
          <w:szCs w:val="24"/>
          <w:lang w:val="hy-AM"/>
        </w:rPr>
        <w:t>եց</w:t>
      </w:r>
      <w:r w:rsidR="00072385">
        <w:rPr>
          <w:rFonts w:ascii="GHEA Grapalat" w:eastAsia="Times New Roman" w:hAnsi="GHEA Grapalat" w:cs="Times New Roman"/>
          <w:sz w:val="24"/>
          <w:szCs w:val="24"/>
          <w:lang w:val="hy-AM"/>
        </w:rPr>
        <w:t>մամբ</w:t>
      </w:r>
      <w:r w:rsidR="004E6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72327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պայմանավորված։</w:t>
      </w:r>
    </w:p>
    <w:p w:rsidR="00CC5BBC" w:rsidRPr="00800678" w:rsidRDefault="00CC5BBC" w:rsidP="00CC5BB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C5BBC" w:rsidRPr="009B4C25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ԳԼՈՒԽ 4</w:t>
      </w:r>
    </w:p>
    <w:p w:rsidR="00CC5BBC" w:rsidRPr="009B4C25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ԿԱՐԳԱՎՈՐՄԱՆ ՊԱՐՏԱԴԻՐ ՎՃԱՐԻ ՎՃԱՐՄԱՆ</w:t>
      </w:r>
      <w:r w:rsidR="0040256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, ՊԱՐՏԱՎՈՐՈՒԹՅՈՒՆՆԵՐԻ ՀԱՇՎԱՌՄԱՆ</w:t>
      </w:r>
      <w:r w:rsidRPr="009B4C2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ԵՎ ՎԵՐԱԴԱՐՁՄԱՆ ԿԱՐԳԸ</w:t>
      </w:r>
    </w:p>
    <w:p w:rsidR="00CC5BBC" w:rsidRPr="009B4C25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C5BBC" w:rsidRPr="009B4C25" w:rsidRDefault="00CC5BBC" w:rsidP="004A6C51">
      <w:pPr>
        <w:spacing w:before="120"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Հոդված </w:t>
      </w:r>
      <w:r w:rsidR="00CC58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9B4C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Կարգավորման պարտադիր վճարի վճարման կարգը և ժամկետները</w:t>
      </w:r>
    </w:p>
    <w:p w:rsidR="00CC5BBC" w:rsidRPr="009B4C2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Վճարողները սույն օրենքով սահմանված կարգով հաշվարկված և հաստատված կարգավորման պարտադիր վճարի </w:t>
      </w:r>
      <w:r w:rsidR="001033B4">
        <w:rPr>
          <w:rFonts w:ascii="GHEA Grapalat" w:eastAsia="Times New Roman" w:hAnsi="GHEA Grapalat" w:cs="Times New Roman"/>
          <w:sz w:val="24"/>
          <w:szCs w:val="24"/>
          <w:lang w:val="hy-AM"/>
        </w:rPr>
        <w:t>ամսական գումարները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վճարում են յուրաքանչյուր </w:t>
      </w:r>
      <w:r w:rsidR="001033B4">
        <w:rPr>
          <w:rFonts w:ascii="GHEA Grapalat" w:eastAsia="Times New Roman" w:hAnsi="GHEA Grapalat" w:cs="Times New Roman"/>
          <w:sz w:val="24"/>
          <w:szCs w:val="24"/>
          <w:lang w:val="hy-AM"/>
        </w:rPr>
        <w:t>ամսվա 2</w:t>
      </w:r>
      <w:r w:rsidR="001376D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1033B4">
        <w:rPr>
          <w:rFonts w:ascii="GHEA Grapalat" w:eastAsia="Times New Roman" w:hAnsi="GHEA Grapalat" w:cs="Times New Roman"/>
          <w:sz w:val="24"/>
          <w:szCs w:val="24"/>
          <w:lang w:val="hy-AM"/>
        </w:rPr>
        <w:t>-ից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(իսկ եթե դա համընկնում է ոչ աշխատանքային օրվա հետ, ապա այդ օրվան հաջորդող առաջին աշխատանքային օրվանից) ոչ ուշ:</w:t>
      </w:r>
    </w:p>
    <w:p w:rsidR="00CC5BBC" w:rsidRPr="009B4C2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Հանրային ծառայությունների </w:t>
      </w:r>
      <w:r w:rsidR="0085143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կարգավորվող 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ոլորտում մեկից ավելի գործունեություն իրականացնող անձանց կողմից վճարման ենթակա կարգավորման պարտադիր վճարները</w:t>
      </w:r>
      <w:r w:rsidR="004025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պետական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բյուջե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վճարվում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յուրաքանչյուր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768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կարգավորվող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գործունեության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4C25">
        <w:rPr>
          <w:rFonts w:ascii="GHEA Grapalat" w:eastAsia="Times New Roman" w:hAnsi="GHEA Grapalat" w:cs="GHEA Grapalat"/>
          <w:sz w:val="24"/>
          <w:szCs w:val="24"/>
          <w:lang w:val="hy-AM"/>
        </w:rPr>
        <w:t>առանձին։</w:t>
      </w:r>
    </w:p>
    <w:p w:rsidR="00CC5BBC" w:rsidRPr="009B4C25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3. Կարգավորման պարտադիր վճարը վճարվում է Հայաստանի Հանրապետության արժույթով: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412"/>
      </w:tblGrid>
      <w:tr w:rsidR="00CC5BBC" w:rsidRPr="00CC5BBC" w:rsidTr="00B643EB">
        <w:trPr>
          <w:tblCellSpacing w:w="0" w:type="dxa"/>
          <w:jc w:val="center"/>
        </w:trPr>
        <w:tc>
          <w:tcPr>
            <w:tcW w:w="1843" w:type="dxa"/>
            <w:hideMark/>
          </w:tcPr>
          <w:p w:rsidR="00CC5BBC" w:rsidRPr="00CC5BBC" w:rsidRDefault="00CC5BBC" w:rsidP="004A6C51">
            <w:pPr>
              <w:spacing w:before="120" w:after="0" w:line="276" w:lineRule="auto"/>
              <w:ind w:firstLine="142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B643E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9</w:t>
            </w:r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12" w:type="dxa"/>
            <w:vAlign w:val="center"/>
            <w:hideMark/>
          </w:tcPr>
          <w:p w:rsidR="00CC5BBC" w:rsidRPr="00CC5BBC" w:rsidRDefault="00CC5BBC" w:rsidP="004A6C51">
            <w:pPr>
              <w:spacing w:before="12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Կարգավորման</w:t>
            </w:r>
            <w:proofErr w:type="spellEnd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պարտադիր</w:t>
            </w:r>
            <w:proofErr w:type="spellEnd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վճարների</w:t>
            </w:r>
            <w:proofErr w:type="spellEnd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պարտավորությունների</w:t>
            </w:r>
            <w:proofErr w:type="spellEnd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B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հաշվառումը</w:t>
            </w:r>
            <w:proofErr w:type="spellEnd"/>
          </w:p>
        </w:tc>
      </w:tr>
    </w:tbl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="00237D1C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Կարգավորման պարտադիր վ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ճարների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պարտավորությունները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հաշվառվում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CC5BBC">
      <w:pPr>
        <w:spacing w:before="120"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B643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վճարը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վերադարձնելու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կարգը</w:t>
      </w:r>
      <w:proofErr w:type="spellEnd"/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գումարից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ավելի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մուտքագրվում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միասնական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ԳԼՈՒԽ</w:t>
      </w:r>
      <w:r w:rsidRPr="00CC5BBC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5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ՏԵՂԵԿԱՏՎՈՒԹՅՈՒՆՆԵՐԻ ՏՐԱՄԱԴՐՄԱՆ ԿԱՐԳԸ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CC5BBC" w:rsidRPr="00CC5BBC" w:rsidRDefault="00CC5BBC" w:rsidP="004A6C51">
      <w:pPr>
        <w:spacing w:before="120"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24E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11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Տեղեկատվությունների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տրամադրման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կարգը</w:t>
      </w:r>
      <w:proofErr w:type="spellEnd"/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Հանձնաժողովը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յուրաքանչյուր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տարի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Հանրապետությունում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հաշվառված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վճարողների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կազմի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թվում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հարկ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վճարողների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հաշվառման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համարների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) և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վճարողների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դրույքաչափերի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վճարողների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228D1">
        <w:rPr>
          <w:rFonts w:ascii="GHEA Grapalat" w:eastAsia="Times New Roman" w:hAnsi="GHEA Grapalat" w:cs="Times New Roman"/>
          <w:sz w:val="24"/>
          <w:szCs w:val="24"/>
          <w:lang w:val="hy-AM"/>
        </w:rPr>
        <w:t>ամսական</w:t>
      </w:r>
      <w:r w:rsidR="003228D1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վճարների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չափի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տեղեկատվությունը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յուրաքանչյուր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օրենքն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մտնելուց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՝ 15-օրյա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,</w:t>
      </w:r>
      <w:r w:rsidR="00867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իսկ կարգավորման պարտադիր վճարների մեծությունների փոփոխության դեպքում մինչև </w:t>
      </w:r>
      <w:r w:rsidR="00867FB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հանձնաժողովի համապատասխան որոշումն ուժի մեջ մտնելուն հաջորդող 5-րդ օրը</w:t>
      </w: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մարմին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7B21A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C5BBC" w:rsidDel="007B21A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ԳԼՈՒԽ 6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ՍՈՒՅՆ ՕՐԵՆՔԸ ԽԱԽՏԵԼՈՒ ՀԱՄԱՐ ՊԱՏԱՍԽԱՆԱՏՎՈՒԹՅՈՒՆԸ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CC5BBC" w:rsidRPr="00CC5BBC" w:rsidRDefault="00CC5BBC" w:rsidP="004A6C51">
      <w:pPr>
        <w:spacing w:before="120"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24E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Սույն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օրենքը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խախտելու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համար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պատասխանատվությունը</w:t>
      </w:r>
      <w:proofErr w:type="spellEnd"/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խախտումն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առաջացնում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պատասխանատվություն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ժամանակին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վճարելու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մյուս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պահանջները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պահպանելու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պատասխանատվությունը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բան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չլինելու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կրում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վճարողները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պաշտոնատար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անձինք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վճարումները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ժամկետից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ուշացնելու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վճարողները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վճարում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տույժ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C5BBC">
        <w:rPr>
          <w:rFonts w:ascii="GHEA Grapalat" w:eastAsia="Times New Roman" w:hAnsi="GHEA Grapalat" w:cs="Times New Roman"/>
          <w:sz w:val="24"/>
          <w:szCs w:val="24"/>
        </w:rPr>
        <w:t>չափով</w:t>
      </w:r>
      <w:proofErr w:type="spellEnd"/>
      <w:r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7B21A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Վճարողները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պակաս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վճարի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հաշվարկված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տույժերը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բյուջե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վճարում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7B21AC" w:rsidP="00D62B4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Կարգավորման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վճարի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պարտավորությունների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կատարումը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ապահովում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մարմինը</w:t>
      </w:r>
      <w:proofErr w:type="spellEnd"/>
      <w:r w:rsidR="00CC5BBC" w:rsidRPr="00CC5BB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ԳԼՈՒԽ 7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CC5BB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ԱՆՑՈՒՄԱՅԻՆ ԴՐՈՒՅԹՆԵՐ</w:t>
      </w:r>
    </w:p>
    <w:p w:rsidR="00CC5BBC" w:rsidRPr="00CC5BBC" w:rsidRDefault="00CC5BBC" w:rsidP="00CC5BB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524E41" w:rsidRPr="00524E41" w:rsidRDefault="00CC5BBC" w:rsidP="00D62B48">
      <w:pPr>
        <w:spacing w:before="120"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24E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Pr="00CC5BBC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CC5BB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4E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օրենքով սահմանված կարգով առաջին անգամ </w:t>
      </w:r>
      <w:r w:rsidR="00524E41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կարգավորման պարտադիր վճարների տարեկան դրույքաչափերը</w:t>
      </w:r>
      <w:r w:rsidR="00524E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24E41" w:rsidRPr="009B4C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հաշվարկվում </w:t>
      </w:r>
      <w:r w:rsidR="00524E41">
        <w:rPr>
          <w:rFonts w:ascii="GHEA Grapalat" w:eastAsia="Times New Roman" w:hAnsi="GHEA Grapalat" w:cs="Times New Roman"/>
          <w:sz w:val="24"/>
          <w:szCs w:val="24"/>
          <w:lang w:val="hy-AM"/>
        </w:rPr>
        <w:t>և ըստ վճարողների անվանական կազմի հաստատվում են սույն օրենքն ուժի մեջ մտնելու տարվան հաջորդող տարվա հունվարի 1-ից սկսվող հաշվետու տարվա համար։</w:t>
      </w:r>
    </w:p>
    <w:p w:rsidR="00CC5BBC" w:rsidRPr="00FC43B7" w:rsidRDefault="00CC5BBC" w:rsidP="00D62B48">
      <w:pPr>
        <w:spacing w:before="120"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43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Հոդված </w:t>
      </w:r>
      <w:r w:rsidR="00524E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14</w:t>
      </w:r>
      <w:r w:rsidRPr="00FC43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C43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օրենքն ուժի մեջ է մտնում պաշտոնական հրապարակմանը հաջորդող տասներորդ օրվանից:</w:t>
      </w:r>
    </w:p>
    <w:p w:rsidR="00D62C8F" w:rsidRPr="00FC43B7" w:rsidRDefault="00D62C8F" w:rsidP="00D62B48">
      <w:pPr>
        <w:spacing w:before="120"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43B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15.</w:t>
      </w:r>
      <w:r w:rsidRPr="00FC43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օրենքի ուժի մեջ մտնելու պահից ուժը կորցրած ճանաչել Հայաստանի Հանրապետության Ազգային ժողովի կողմից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2005</w:t>
      </w:r>
      <w:r w:rsidRPr="00FC43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նոյեմբերի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Pr="00FC43B7">
        <w:rPr>
          <w:rFonts w:ascii="GHEA Grapalat" w:eastAsia="Times New Roman" w:hAnsi="GHEA Grapalat" w:cs="Times New Roman"/>
          <w:sz w:val="24"/>
          <w:szCs w:val="24"/>
          <w:lang w:val="hy-AM"/>
        </w:rPr>
        <w:t>-ին ընդունված «</w:t>
      </w:r>
      <w:r w:rsidR="00C81CB8" w:rsidRPr="00FC43B7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Հանրային ծառայությունների կարգավորման պարտադիր վճարների մասին</w:t>
      </w:r>
      <w:r w:rsidRPr="00FC43B7">
        <w:rPr>
          <w:rFonts w:ascii="GHEA Grapalat" w:eastAsia="Times New Roman" w:hAnsi="GHEA Grapalat" w:cs="Times New Roman"/>
          <w:sz w:val="24"/>
          <w:szCs w:val="24"/>
          <w:lang w:val="hy-AM"/>
        </w:rPr>
        <w:t>» օրենքը:</w:t>
      </w:r>
    </w:p>
    <w:p w:rsidR="00FC43B7" w:rsidRPr="00076438" w:rsidRDefault="00FC43B7" w:rsidP="00076438">
      <w:pPr>
        <w:spacing w:after="0" w:line="33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FC43B7" w:rsidRPr="00FC43B7" w:rsidRDefault="00FC43B7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3A5EBC" w:rsidRPr="00FC43B7" w:rsidRDefault="003A5EBC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</w:pPr>
    </w:p>
    <w:p w:rsidR="001A6649" w:rsidRPr="00FC43B7" w:rsidRDefault="001A6649" w:rsidP="003A5EBC">
      <w:pPr>
        <w:spacing w:after="0" w:line="240" w:lineRule="auto"/>
        <w:ind w:left="5812"/>
        <w:jc w:val="center"/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sectPr w:rsidR="001A6649" w:rsidRPr="00FC43B7" w:rsidSect="001B2155">
          <w:footerReference w:type="default" r:id="rId7"/>
          <w:pgSz w:w="12240" w:h="15840"/>
          <w:pgMar w:top="851" w:right="851" w:bottom="454" w:left="1134" w:header="227" w:footer="227" w:gutter="0"/>
          <w:cols w:space="708"/>
          <w:docGrid w:linePitch="360"/>
        </w:sectPr>
      </w:pPr>
    </w:p>
    <w:p w:rsidR="003A5EBC" w:rsidRPr="00FC43B7" w:rsidRDefault="003A5EBC" w:rsidP="00C36837">
      <w:pPr>
        <w:spacing w:after="0" w:line="240" w:lineRule="auto"/>
        <w:ind w:left="103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C43B7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lastRenderedPageBreak/>
        <w:t xml:space="preserve">Հավելված </w:t>
      </w:r>
      <w:r w:rsidRPr="00FC43B7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br/>
        <w:t>«Հանրային ծառայությունների կարգավո</w:t>
      </w:r>
      <w:r w:rsidR="00A977C0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 xml:space="preserve">րման </w:t>
      </w:r>
      <w:r w:rsidR="00A977C0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br/>
        <w:t xml:space="preserve">պարտադիր վճարների մասին» </w:t>
      </w:r>
      <w:r w:rsidRPr="00FC43B7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օրենքի</w:t>
      </w:r>
    </w:p>
    <w:p w:rsidR="003A5EBC" w:rsidRPr="00FC43B7" w:rsidRDefault="003A5EBC" w:rsidP="00BC49F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CC5BBC" w:rsidRPr="00FC43B7" w:rsidRDefault="00CC5BBC" w:rsidP="009B4C25">
      <w:pPr>
        <w:spacing w:after="8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43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ՍԽԵՄԱ</w:t>
      </w:r>
    </w:p>
    <w:p w:rsidR="00CC5BBC" w:rsidRPr="00FC43B7" w:rsidRDefault="00CC5BBC" w:rsidP="009B4C2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C43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«Հանրային ծառայությունների կարգավորման պարտադիր վճարների մասին» օրենքի 8-րդ հոդվածի համաձայն՝ կարգավորման պարտադիր վճարների տարեկան դրույքաչափերի հաշվարկման</w:t>
      </w:r>
    </w:p>
    <w:p w:rsidR="009B4C25" w:rsidRPr="00FC43B7" w:rsidRDefault="009B4C25" w:rsidP="009B4C2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3634"/>
        <w:gridCol w:w="1842"/>
        <w:gridCol w:w="1701"/>
        <w:gridCol w:w="2694"/>
        <w:gridCol w:w="567"/>
        <w:gridCol w:w="567"/>
        <w:gridCol w:w="567"/>
        <w:gridCol w:w="567"/>
        <w:gridCol w:w="496"/>
      </w:tblGrid>
      <w:tr w:rsidR="009B4C25" w:rsidRPr="00E52DFC" w:rsidTr="009B4C25">
        <w:trPr>
          <w:jc w:val="center"/>
        </w:trPr>
        <w:tc>
          <w:tcPr>
            <w:tcW w:w="1890" w:type="dxa"/>
            <w:vMerge w:val="restart"/>
            <w:vAlign w:val="center"/>
          </w:tcPr>
          <w:p w:rsidR="009B4C25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A664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Հաշվառման վերցված վճարողները</w:t>
            </w:r>
          </w:p>
        </w:tc>
        <w:tc>
          <w:tcPr>
            <w:tcW w:w="3634" w:type="dxa"/>
            <w:vMerge w:val="restart"/>
            <w:vAlign w:val="center"/>
          </w:tcPr>
          <w:p w:rsidR="009B4C25" w:rsidRPr="001A6649" w:rsidRDefault="009B4C25" w:rsidP="008C257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A664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Վճարողի իրացման շրջանառությունը (առանց ավելացված արժեքի հարկի)</w:t>
            </w:r>
          </w:p>
        </w:tc>
        <w:tc>
          <w:tcPr>
            <w:tcW w:w="3543" w:type="dxa"/>
            <w:gridSpan w:val="2"/>
            <w:vAlign w:val="center"/>
          </w:tcPr>
          <w:p w:rsidR="009B4C25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Տեսակարար կշիռը</w:t>
            </w:r>
          </w:p>
        </w:tc>
        <w:tc>
          <w:tcPr>
            <w:tcW w:w="2694" w:type="dxa"/>
            <w:vMerge w:val="restart"/>
            <w:vAlign w:val="center"/>
          </w:tcPr>
          <w:p w:rsidR="009B4C25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Յուրաքանչյուր վճարողի կարգավորման պարտադիր վճարի տարեկան դրույքաչափը</w:t>
            </w:r>
          </w:p>
        </w:tc>
        <w:tc>
          <w:tcPr>
            <w:tcW w:w="2764" w:type="dxa"/>
            <w:gridSpan w:val="5"/>
            <w:vAlign w:val="center"/>
          </w:tcPr>
          <w:p w:rsidR="009B4C25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այդ թվում՝ ըստ ամիսների</w:t>
            </w: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Merge/>
            <w:vAlign w:val="center"/>
          </w:tcPr>
          <w:p w:rsidR="00C36837" w:rsidRPr="001A6649" w:rsidRDefault="00C36837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34" w:type="dxa"/>
            <w:vMerge/>
            <w:vAlign w:val="center"/>
          </w:tcPr>
          <w:p w:rsidR="00C36837" w:rsidRPr="001A6649" w:rsidRDefault="00C36837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vAlign w:val="center"/>
          </w:tcPr>
          <w:p w:rsidR="00C36837" w:rsidRPr="00C36837" w:rsidRDefault="00C36837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ԸԾ-ի մասով</w:t>
            </w:r>
          </w:p>
        </w:tc>
        <w:tc>
          <w:tcPr>
            <w:tcW w:w="1701" w:type="dxa"/>
            <w:vAlign w:val="center"/>
          </w:tcPr>
          <w:p w:rsidR="00C36837" w:rsidRPr="001A6649" w:rsidRDefault="00C36837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ՆԾ-ի մասով</w:t>
            </w:r>
          </w:p>
        </w:tc>
        <w:tc>
          <w:tcPr>
            <w:tcW w:w="2694" w:type="dxa"/>
            <w:vMerge/>
            <w:vAlign w:val="center"/>
          </w:tcPr>
          <w:p w:rsidR="00C36837" w:rsidRPr="001A6649" w:rsidRDefault="00C36837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Align w:val="center"/>
          </w:tcPr>
          <w:p w:rsidR="00C36837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567" w:type="dxa"/>
            <w:vAlign w:val="center"/>
          </w:tcPr>
          <w:p w:rsidR="00C36837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567" w:type="dxa"/>
            <w:vAlign w:val="center"/>
          </w:tcPr>
          <w:p w:rsidR="00C36837" w:rsidRPr="001A6649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567" w:type="dxa"/>
            <w:vAlign w:val="center"/>
          </w:tcPr>
          <w:p w:rsidR="00C36837" w:rsidRPr="009B4C25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…</w:t>
            </w:r>
          </w:p>
        </w:tc>
        <w:tc>
          <w:tcPr>
            <w:tcW w:w="496" w:type="dxa"/>
            <w:vAlign w:val="center"/>
          </w:tcPr>
          <w:p w:rsidR="00C36837" w:rsidRPr="009B4C25" w:rsidRDefault="009B4C25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1A6649" w:rsidRPr="00851434" w:rsidRDefault="001A6649" w:rsidP="00AF49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>Հ</w:t>
            </w:r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անրային</w:t>
            </w:r>
            <w:proofErr w:type="spellEnd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</w:t>
            </w:r>
            <w:proofErr w:type="spellEnd"/>
            <w:r w:rsidR="00AF499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</w:t>
            </w:r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ն </w:t>
            </w:r>
            <w:proofErr w:type="spellStart"/>
            <w:r w:rsidR="00851434"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>կարգավորվող</w:t>
            </w:r>
            <w:proofErr w:type="spellEnd"/>
            <w:r w:rsidR="00851434"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ոլորտ</w:t>
            </w:r>
            <w:proofErr w:type="spellEnd"/>
            <w:r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634" w:type="dxa"/>
            <w:vAlign w:val="center"/>
          </w:tcPr>
          <w:p w:rsidR="001A6649" w:rsidRPr="001A6649" w:rsidRDefault="00C36837" w:rsidP="00C368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Ո1</w:t>
            </w:r>
          </w:p>
        </w:tc>
        <w:tc>
          <w:tcPr>
            <w:tcW w:w="1842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1A6649" w:rsidRPr="0024073F" w:rsidRDefault="001A6649" w:rsidP="001A6649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24073F">
              <w:rPr>
                <w:rFonts w:ascii="GHEA Grapalat" w:eastAsia="Times New Roman" w:hAnsi="GHEA Grapalat" w:cs="Times New Roman"/>
                <w:lang w:val="hy-AM"/>
              </w:rPr>
              <w:t>Վ</w:t>
            </w:r>
            <w:r w:rsidRPr="0024073F">
              <w:rPr>
                <w:rFonts w:ascii="GHEA Grapalat" w:eastAsia="Times New Roman" w:hAnsi="GHEA Grapalat" w:cs="Times New Roman"/>
                <w:vertAlign w:val="subscript"/>
                <w:lang w:val="hy-AM"/>
              </w:rPr>
              <w:t>1</w:t>
            </w:r>
          </w:p>
        </w:tc>
        <w:tc>
          <w:tcPr>
            <w:tcW w:w="3634" w:type="dxa"/>
            <w:vAlign w:val="center"/>
          </w:tcPr>
          <w:p w:rsidR="001A6649" w:rsidRPr="0024073F" w:rsidRDefault="0024073F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</w:p>
        </w:tc>
        <w:tc>
          <w:tcPr>
            <w:tcW w:w="1842" w:type="dxa"/>
            <w:vAlign w:val="center"/>
          </w:tcPr>
          <w:p w:rsidR="001A6649" w:rsidRPr="00C36837" w:rsidRDefault="00C36837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1A664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</w:p>
        </w:tc>
        <w:tc>
          <w:tcPr>
            <w:tcW w:w="2694" w:type="dxa"/>
            <w:vAlign w:val="center"/>
          </w:tcPr>
          <w:p w:rsidR="001A6649" w:rsidRPr="00E52DFC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 w:rsidR="00703A44"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 w:rsidR="00703A4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 w:rsidR="00703A44"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1A6649" w:rsidRPr="001A6649" w:rsidRDefault="001A6649" w:rsidP="001A66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24073F" w:rsidRDefault="004C26A9" w:rsidP="004C26A9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24073F">
              <w:rPr>
                <w:rFonts w:ascii="GHEA Grapalat" w:eastAsia="Times New Roman" w:hAnsi="GHEA Grapalat" w:cs="Times New Roman"/>
                <w:lang w:val="hy-AM"/>
              </w:rPr>
              <w:t>Վ</w:t>
            </w:r>
            <w:r w:rsidRPr="0024073F">
              <w:rPr>
                <w:rFonts w:ascii="GHEA Grapalat" w:eastAsia="Times New Roman" w:hAnsi="GHEA Grapalat" w:cs="Times New Roman"/>
                <w:vertAlign w:val="subscript"/>
                <w:lang w:val="hy-AM"/>
              </w:rPr>
              <w:t>2</w:t>
            </w:r>
          </w:p>
        </w:tc>
        <w:tc>
          <w:tcPr>
            <w:tcW w:w="3634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2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4C26A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</w:p>
        </w:tc>
        <w:tc>
          <w:tcPr>
            <w:tcW w:w="2694" w:type="dxa"/>
            <w:vAlign w:val="center"/>
          </w:tcPr>
          <w:p w:rsidR="004C26A9" w:rsidRPr="001A6649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1A6649" w:rsidRDefault="004C26A9" w:rsidP="00AF49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A664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proofErr w:type="spellStart"/>
            <w:r w:rsidR="00AF499E">
              <w:rPr>
                <w:rFonts w:ascii="GHEA Grapalat" w:eastAsia="Times New Roman" w:hAnsi="GHEA Grapalat" w:cs="Times New Roman"/>
                <w:sz w:val="20"/>
                <w:szCs w:val="20"/>
              </w:rPr>
              <w:t>անրային</w:t>
            </w:r>
            <w:proofErr w:type="spellEnd"/>
            <w:r w:rsidR="00AF499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="00AF499E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ծառայությա</w:t>
            </w:r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="00851434"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>կարգավորվող</w:t>
            </w:r>
            <w:proofErr w:type="spellEnd"/>
            <w:r w:rsidR="00851434"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ոլորտ</w:t>
            </w:r>
            <w:proofErr w:type="spellEnd"/>
            <w:r w:rsidRPr="001A664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3634" w:type="dxa"/>
            <w:vAlign w:val="center"/>
          </w:tcPr>
          <w:p w:rsidR="004C26A9" w:rsidRPr="00C36837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26A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5018C7" w:rsidRDefault="004C26A9" w:rsidP="004C26A9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24073F">
              <w:rPr>
                <w:rFonts w:ascii="GHEA Grapalat" w:eastAsia="Times New Roman" w:hAnsi="GHEA Grapalat" w:cs="Times New Roman"/>
                <w:lang w:val="hy-AM"/>
              </w:rPr>
              <w:t>Վ</w:t>
            </w:r>
            <w:r>
              <w:rPr>
                <w:rFonts w:ascii="GHEA Grapalat" w:eastAsia="Times New Roman" w:hAnsi="GHEA Grapalat" w:cs="Times New Roman"/>
                <w:vertAlign w:val="subscript"/>
              </w:rPr>
              <w:t>3</w:t>
            </w:r>
          </w:p>
        </w:tc>
        <w:tc>
          <w:tcPr>
            <w:tcW w:w="3634" w:type="dxa"/>
            <w:vAlign w:val="center"/>
          </w:tcPr>
          <w:p w:rsidR="004C26A9" w:rsidRPr="005018C7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4C26A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2</w:t>
            </w:r>
          </w:p>
        </w:tc>
        <w:tc>
          <w:tcPr>
            <w:tcW w:w="2694" w:type="dxa"/>
            <w:vAlign w:val="center"/>
          </w:tcPr>
          <w:p w:rsidR="004C26A9" w:rsidRPr="001A6649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5018C7" w:rsidRDefault="004C26A9" w:rsidP="004C26A9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24073F">
              <w:rPr>
                <w:rFonts w:ascii="GHEA Grapalat" w:eastAsia="Times New Roman" w:hAnsi="GHEA Grapalat" w:cs="Times New Roman"/>
                <w:lang w:val="hy-AM"/>
              </w:rPr>
              <w:t>Վ</w:t>
            </w:r>
            <w:r>
              <w:rPr>
                <w:rFonts w:ascii="GHEA Grapalat" w:eastAsia="Times New Roman" w:hAnsi="GHEA Grapalat" w:cs="Times New Roman"/>
                <w:vertAlign w:val="subscript"/>
              </w:rPr>
              <w:t>4</w:t>
            </w:r>
          </w:p>
        </w:tc>
        <w:tc>
          <w:tcPr>
            <w:tcW w:w="3634" w:type="dxa"/>
            <w:vAlign w:val="center"/>
          </w:tcPr>
          <w:p w:rsidR="004C26A9" w:rsidRPr="005018C7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4C26A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2</w:t>
            </w:r>
          </w:p>
        </w:tc>
        <w:tc>
          <w:tcPr>
            <w:tcW w:w="2694" w:type="dxa"/>
            <w:vAlign w:val="center"/>
          </w:tcPr>
          <w:p w:rsidR="004C26A9" w:rsidRPr="001A6649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1A6649" w:rsidRDefault="004C26A9" w:rsidP="00AF49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A664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proofErr w:type="spellStart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անրային</w:t>
            </w:r>
            <w:proofErr w:type="spellEnd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</w:t>
            </w:r>
            <w:proofErr w:type="spellEnd"/>
            <w:r w:rsidR="00AF499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</w:t>
            </w:r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ն </w:t>
            </w:r>
            <w:proofErr w:type="spellStart"/>
            <w:r w:rsidR="00851434"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>կարգավորվող</w:t>
            </w:r>
            <w:proofErr w:type="spellEnd"/>
            <w:r w:rsidR="00851434" w:rsidRPr="0085143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ոլորտ</w:t>
            </w:r>
            <w:proofErr w:type="spellEnd"/>
            <w:r w:rsidRPr="001A664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1A6649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3634" w:type="dxa"/>
            <w:vAlign w:val="center"/>
          </w:tcPr>
          <w:p w:rsidR="004C26A9" w:rsidRPr="00C36837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26A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5018C7" w:rsidRDefault="004C26A9" w:rsidP="004C26A9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24073F">
              <w:rPr>
                <w:rFonts w:ascii="GHEA Grapalat" w:eastAsia="Times New Roman" w:hAnsi="GHEA Grapalat" w:cs="Times New Roman"/>
                <w:lang w:val="hy-AM"/>
              </w:rPr>
              <w:t>Վ</w:t>
            </w:r>
            <w:r>
              <w:rPr>
                <w:rFonts w:ascii="GHEA Grapalat" w:eastAsia="Times New Roman" w:hAnsi="GHEA Grapalat" w:cs="Times New Roman"/>
                <w:vertAlign w:val="subscript"/>
              </w:rPr>
              <w:t>5</w:t>
            </w:r>
          </w:p>
        </w:tc>
        <w:tc>
          <w:tcPr>
            <w:tcW w:w="3634" w:type="dxa"/>
            <w:vAlign w:val="center"/>
          </w:tcPr>
          <w:p w:rsidR="004C26A9" w:rsidRPr="005018C7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4C26A9" w:rsidRPr="004C26A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2694" w:type="dxa"/>
            <w:vAlign w:val="center"/>
          </w:tcPr>
          <w:p w:rsidR="004C26A9" w:rsidRPr="001A6649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24073F" w:rsidRDefault="004C26A9" w:rsidP="004C26A9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24073F">
              <w:rPr>
                <w:rFonts w:ascii="GHEA Grapalat" w:eastAsia="Times New Roman" w:hAnsi="GHEA Grapalat" w:cs="Times New Roman"/>
              </w:rPr>
              <w:t>…</w:t>
            </w:r>
          </w:p>
        </w:tc>
        <w:tc>
          <w:tcPr>
            <w:tcW w:w="3634" w:type="dxa"/>
            <w:vAlign w:val="center"/>
          </w:tcPr>
          <w:p w:rsidR="004C26A9" w:rsidRPr="0024073F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…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…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…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4C26A9" w:rsidRPr="004C26A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2694" w:type="dxa"/>
            <w:vAlign w:val="center"/>
          </w:tcPr>
          <w:p w:rsidR="004C26A9" w:rsidRPr="001A6649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..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..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..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1A6649" w:rsidTr="009B4C25">
        <w:trPr>
          <w:jc w:val="center"/>
        </w:trPr>
        <w:tc>
          <w:tcPr>
            <w:tcW w:w="1890" w:type="dxa"/>
            <w:vAlign w:val="center"/>
          </w:tcPr>
          <w:p w:rsidR="004C26A9" w:rsidRPr="0024073F" w:rsidRDefault="004C26A9" w:rsidP="004C26A9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24073F">
              <w:rPr>
                <w:rFonts w:ascii="GHEA Grapalat" w:eastAsia="Times New Roman" w:hAnsi="GHEA Grapalat" w:cs="Times New Roman"/>
                <w:lang w:val="hy-AM"/>
              </w:rPr>
              <w:t>Վ</w:t>
            </w:r>
            <w:r w:rsidRPr="0024073F">
              <w:rPr>
                <w:rFonts w:ascii="GHEA Grapalat" w:eastAsia="Times New Roman" w:hAnsi="GHEA Grapalat" w:cs="Times New Roman"/>
                <w:vertAlign w:val="subscript"/>
              </w:rPr>
              <w:t>n</w:t>
            </w:r>
          </w:p>
        </w:tc>
        <w:tc>
          <w:tcPr>
            <w:tcW w:w="3634" w:type="dxa"/>
            <w:vAlign w:val="center"/>
          </w:tcPr>
          <w:p w:rsidR="004C26A9" w:rsidRPr="0024073F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842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Ը</w:t>
            </w:r>
          </w:p>
        </w:tc>
        <w:tc>
          <w:tcPr>
            <w:tcW w:w="1701" w:type="dxa"/>
            <w:vAlign w:val="center"/>
          </w:tcPr>
          <w:p w:rsidR="004C26A9" w:rsidRPr="004C26A9" w:rsidRDefault="004C26A9" w:rsidP="004C26A9">
            <w:pPr>
              <w:ind w:left="-57" w:right="-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ՏԿՈ</w:t>
            </w:r>
            <w:r w:rsidRPr="00C36837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ԻՇ</w:t>
            </w:r>
            <w:r w:rsidRPr="0024073F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ԻՇ</w:t>
            </w:r>
            <w:r w:rsidRPr="004C26A9"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  <w:lang w:val="hy-AM"/>
              </w:rPr>
              <w:t>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2694" w:type="dxa"/>
            <w:vAlign w:val="center"/>
          </w:tcPr>
          <w:p w:rsidR="004C26A9" w:rsidRPr="001A6649" w:rsidRDefault="00E52DFC" w:rsidP="00E52D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=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ՏԿԸ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*ԸԾ + ՏԿՈ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vertAlign w:val="subscript"/>
              </w:rPr>
              <w:t>n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*ՆԾ</w:t>
            </w: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4C26A9" w:rsidRPr="001A6649" w:rsidRDefault="004C26A9" w:rsidP="004C26A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9B4C25" w:rsidRPr="009B4C25" w:rsidTr="009B4C25">
        <w:trPr>
          <w:jc w:val="center"/>
        </w:trPr>
        <w:tc>
          <w:tcPr>
            <w:tcW w:w="1890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B4C25">
              <w:rPr>
                <w:rFonts w:ascii="GHEA Grapalat" w:eastAsia="Times New Roman" w:hAnsi="GHEA Grapalat" w:cs="Times New Roman"/>
                <w:b/>
                <w:lang w:val="hy-AM"/>
              </w:rPr>
              <w:t>Ընդհանուրը</w:t>
            </w:r>
          </w:p>
        </w:tc>
        <w:tc>
          <w:tcPr>
            <w:tcW w:w="3634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9B4C25">
              <w:rPr>
                <w:rFonts w:ascii="GHEA Grapalat" w:eastAsia="Times New Roman" w:hAnsi="GHEA Grapalat" w:cs="Times New Roman"/>
                <w:b/>
                <w:lang w:val="hy-AM"/>
              </w:rPr>
              <w:t>ԻՇ</w:t>
            </w:r>
            <w:r w:rsidRPr="009B4C25">
              <w:rPr>
                <w:rFonts w:ascii="GHEA Grapalat" w:eastAsia="Times New Roman" w:hAnsi="GHEA Grapalat" w:cs="Times New Roman"/>
                <w:b/>
                <w:vertAlign w:val="subscript"/>
                <w:lang w:val="hy-AM"/>
              </w:rPr>
              <w:t>Ը</w:t>
            </w:r>
          </w:p>
        </w:tc>
        <w:tc>
          <w:tcPr>
            <w:tcW w:w="1842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4C26A9" w:rsidRPr="009B4C25" w:rsidRDefault="009B4C25" w:rsidP="004C26A9">
            <w:pPr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B4C25">
              <w:rPr>
                <w:rFonts w:ascii="GHEA Grapalat" w:eastAsia="Times New Roman" w:hAnsi="GHEA Grapalat" w:cs="Times New Roman"/>
                <w:b/>
                <w:lang w:val="hy-AM"/>
              </w:rPr>
              <w:t>ՀՊԾ</w:t>
            </w:r>
          </w:p>
        </w:tc>
        <w:tc>
          <w:tcPr>
            <w:tcW w:w="567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6" w:type="dxa"/>
            <w:vAlign w:val="center"/>
          </w:tcPr>
          <w:p w:rsidR="004C26A9" w:rsidRPr="009B4C25" w:rsidRDefault="004C26A9" w:rsidP="004C26A9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</w:tr>
      <w:bookmarkEnd w:id="0"/>
    </w:tbl>
    <w:p w:rsidR="009940BA" w:rsidRDefault="009940BA" w:rsidP="000025C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z w:val="28"/>
          <w:lang w:val="hy-AM"/>
        </w:rPr>
      </w:pPr>
    </w:p>
    <w:sectPr w:rsidR="009940BA" w:rsidSect="00C40DB7">
      <w:pgSz w:w="15840" w:h="12240" w:orient="landscape"/>
      <w:pgMar w:top="1134" w:right="851" w:bottom="851" w:left="45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5F0" w:rsidRDefault="001815F0" w:rsidP="001B2155">
      <w:pPr>
        <w:spacing w:after="0" w:line="240" w:lineRule="auto"/>
      </w:pPr>
      <w:r>
        <w:separator/>
      </w:r>
    </w:p>
  </w:endnote>
  <w:endnote w:type="continuationSeparator" w:id="0">
    <w:p w:rsidR="001815F0" w:rsidRDefault="001815F0" w:rsidP="001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637366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20"/>
        <w:szCs w:val="20"/>
      </w:rPr>
    </w:sdtEndPr>
    <w:sdtContent>
      <w:p w:rsidR="001B2155" w:rsidRPr="001B2155" w:rsidRDefault="001B2155">
        <w:pPr>
          <w:pStyle w:val="Footer"/>
          <w:jc w:val="right"/>
          <w:rPr>
            <w:rFonts w:ascii="GHEA Grapalat" w:hAnsi="GHEA Grapalat"/>
            <w:sz w:val="20"/>
            <w:szCs w:val="20"/>
          </w:rPr>
        </w:pPr>
        <w:r w:rsidRPr="001B2155">
          <w:rPr>
            <w:rFonts w:ascii="GHEA Grapalat" w:hAnsi="GHEA Grapalat"/>
            <w:sz w:val="20"/>
            <w:szCs w:val="20"/>
          </w:rPr>
          <w:fldChar w:fldCharType="begin"/>
        </w:r>
        <w:r w:rsidRPr="001B2155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1B2155">
          <w:rPr>
            <w:rFonts w:ascii="GHEA Grapalat" w:hAnsi="GHEA Grapalat"/>
            <w:sz w:val="20"/>
            <w:szCs w:val="20"/>
          </w:rPr>
          <w:fldChar w:fldCharType="separate"/>
        </w:r>
        <w:r w:rsidR="00A977C0">
          <w:rPr>
            <w:rFonts w:ascii="GHEA Grapalat" w:hAnsi="GHEA Grapalat"/>
            <w:noProof/>
            <w:sz w:val="20"/>
            <w:szCs w:val="20"/>
          </w:rPr>
          <w:t>11</w:t>
        </w:r>
        <w:r w:rsidRPr="001B2155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:rsidR="001B2155" w:rsidRDefault="001B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5F0" w:rsidRDefault="001815F0" w:rsidP="001B2155">
      <w:pPr>
        <w:spacing w:after="0" w:line="240" w:lineRule="auto"/>
      </w:pPr>
      <w:r>
        <w:separator/>
      </w:r>
    </w:p>
  </w:footnote>
  <w:footnote w:type="continuationSeparator" w:id="0">
    <w:p w:rsidR="001815F0" w:rsidRDefault="001815F0" w:rsidP="001B2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BC"/>
    <w:rsid w:val="000025C9"/>
    <w:rsid w:val="000058AE"/>
    <w:rsid w:val="00054035"/>
    <w:rsid w:val="00072385"/>
    <w:rsid w:val="00076438"/>
    <w:rsid w:val="00094FEF"/>
    <w:rsid w:val="000B437E"/>
    <w:rsid w:val="000C7B99"/>
    <w:rsid w:val="001020AF"/>
    <w:rsid w:val="001033B4"/>
    <w:rsid w:val="00111261"/>
    <w:rsid w:val="00116918"/>
    <w:rsid w:val="001376DD"/>
    <w:rsid w:val="00153D53"/>
    <w:rsid w:val="001815F0"/>
    <w:rsid w:val="00181F77"/>
    <w:rsid w:val="00182877"/>
    <w:rsid w:val="0019672D"/>
    <w:rsid w:val="001A6649"/>
    <w:rsid w:val="001B2155"/>
    <w:rsid w:val="001D09EF"/>
    <w:rsid w:val="001D5E1D"/>
    <w:rsid w:val="001E23DE"/>
    <w:rsid w:val="00212CFC"/>
    <w:rsid w:val="00237D1C"/>
    <w:rsid w:val="0024073F"/>
    <w:rsid w:val="00247681"/>
    <w:rsid w:val="0028072B"/>
    <w:rsid w:val="002815B0"/>
    <w:rsid w:val="002D1615"/>
    <w:rsid w:val="002D5051"/>
    <w:rsid w:val="003228D1"/>
    <w:rsid w:val="00337922"/>
    <w:rsid w:val="00347F44"/>
    <w:rsid w:val="00352A50"/>
    <w:rsid w:val="003A5EBC"/>
    <w:rsid w:val="003E5329"/>
    <w:rsid w:val="003F5DAE"/>
    <w:rsid w:val="0040256A"/>
    <w:rsid w:val="00421EC1"/>
    <w:rsid w:val="00426021"/>
    <w:rsid w:val="00497A87"/>
    <w:rsid w:val="004A6C51"/>
    <w:rsid w:val="004C26A9"/>
    <w:rsid w:val="004D4DE6"/>
    <w:rsid w:val="004E64A3"/>
    <w:rsid w:val="004F15C1"/>
    <w:rsid w:val="005018C7"/>
    <w:rsid w:val="00524E41"/>
    <w:rsid w:val="0054021A"/>
    <w:rsid w:val="00562EA7"/>
    <w:rsid w:val="00576DF3"/>
    <w:rsid w:val="005C41AF"/>
    <w:rsid w:val="00660195"/>
    <w:rsid w:val="006602BE"/>
    <w:rsid w:val="00662319"/>
    <w:rsid w:val="006869A5"/>
    <w:rsid w:val="00692C6F"/>
    <w:rsid w:val="006A7706"/>
    <w:rsid w:val="006D3613"/>
    <w:rsid w:val="0070152A"/>
    <w:rsid w:val="00703A44"/>
    <w:rsid w:val="00721EC8"/>
    <w:rsid w:val="00744EE9"/>
    <w:rsid w:val="00751D20"/>
    <w:rsid w:val="00773DD4"/>
    <w:rsid w:val="007A1A7A"/>
    <w:rsid w:val="007B21AC"/>
    <w:rsid w:val="007E57BE"/>
    <w:rsid w:val="007F7338"/>
    <w:rsid w:val="00800678"/>
    <w:rsid w:val="00811612"/>
    <w:rsid w:val="00851434"/>
    <w:rsid w:val="00860904"/>
    <w:rsid w:val="00867FBD"/>
    <w:rsid w:val="00876055"/>
    <w:rsid w:val="008B265C"/>
    <w:rsid w:val="008C2576"/>
    <w:rsid w:val="008C292E"/>
    <w:rsid w:val="008C780A"/>
    <w:rsid w:val="00900057"/>
    <w:rsid w:val="00937E62"/>
    <w:rsid w:val="009940BA"/>
    <w:rsid w:val="009B4C25"/>
    <w:rsid w:val="009E5BEB"/>
    <w:rsid w:val="00A863DE"/>
    <w:rsid w:val="00A87527"/>
    <w:rsid w:val="00A977C0"/>
    <w:rsid w:val="00AB3A2B"/>
    <w:rsid w:val="00AD7B56"/>
    <w:rsid w:val="00AD7C6D"/>
    <w:rsid w:val="00AE6261"/>
    <w:rsid w:val="00AF499E"/>
    <w:rsid w:val="00B236D7"/>
    <w:rsid w:val="00B40522"/>
    <w:rsid w:val="00B51D5C"/>
    <w:rsid w:val="00B64128"/>
    <w:rsid w:val="00B643EB"/>
    <w:rsid w:val="00B75384"/>
    <w:rsid w:val="00B95D55"/>
    <w:rsid w:val="00BC0850"/>
    <w:rsid w:val="00BC49F1"/>
    <w:rsid w:val="00BE66D3"/>
    <w:rsid w:val="00BE6753"/>
    <w:rsid w:val="00C36837"/>
    <w:rsid w:val="00C40DB7"/>
    <w:rsid w:val="00C579EC"/>
    <w:rsid w:val="00C817D7"/>
    <w:rsid w:val="00C81CB8"/>
    <w:rsid w:val="00C979EE"/>
    <w:rsid w:val="00C97F2E"/>
    <w:rsid w:val="00CC5840"/>
    <w:rsid w:val="00CC5BBC"/>
    <w:rsid w:val="00CC641F"/>
    <w:rsid w:val="00D4204D"/>
    <w:rsid w:val="00D5312C"/>
    <w:rsid w:val="00D62B48"/>
    <w:rsid w:val="00D62C8F"/>
    <w:rsid w:val="00D84070"/>
    <w:rsid w:val="00E10BDC"/>
    <w:rsid w:val="00E32121"/>
    <w:rsid w:val="00E34C61"/>
    <w:rsid w:val="00E51692"/>
    <w:rsid w:val="00E52DFC"/>
    <w:rsid w:val="00E64012"/>
    <w:rsid w:val="00E64013"/>
    <w:rsid w:val="00E72327"/>
    <w:rsid w:val="00E72509"/>
    <w:rsid w:val="00EA1825"/>
    <w:rsid w:val="00ED6EE4"/>
    <w:rsid w:val="00F23E38"/>
    <w:rsid w:val="00F43271"/>
    <w:rsid w:val="00F47320"/>
    <w:rsid w:val="00F62F84"/>
    <w:rsid w:val="00F63BA5"/>
    <w:rsid w:val="00F71565"/>
    <w:rsid w:val="00F76881"/>
    <w:rsid w:val="00FA6F3D"/>
    <w:rsid w:val="00FC43B7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0BFB"/>
  <w15:chartTrackingRefBased/>
  <w15:docId w15:val="{E021F3EF-A787-477C-AB6D-6C95DF20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5BBC"/>
    <w:rPr>
      <w:b/>
      <w:bCs/>
    </w:rPr>
  </w:style>
  <w:style w:type="character" w:styleId="Emphasis">
    <w:name w:val="Emphasis"/>
    <w:basedOn w:val="DefaultParagraphFont"/>
    <w:uiPriority w:val="20"/>
    <w:qFormat/>
    <w:rsid w:val="00CC5B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155"/>
  </w:style>
  <w:style w:type="paragraph" w:styleId="Footer">
    <w:name w:val="footer"/>
    <w:basedOn w:val="Normal"/>
    <w:link w:val="FooterChar"/>
    <w:uiPriority w:val="99"/>
    <w:unhideWhenUsed/>
    <w:rsid w:val="001B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155"/>
  </w:style>
  <w:style w:type="paragraph" w:styleId="BalloonText">
    <w:name w:val="Balloon Text"/>
    <w:basedOn w:val="Normal"/>
    <w:link w:val="BalloonTextChar"/>
    <w:uiPriority w:val="99"/>
    <w:semiHidden/>
    <w:unhideWhenUsed/>
    <w:rsid w:val="00F7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7BE"/>
    <w:pPr>
      <w:ind w:left="720"/>
      <w:contextualSpacing/>
    </w:pPr>
  </w:style>
  <w:style w:type="table" w:styleId="TableGrid">
    <w:name w:val="Table Grid"/>
    <w:basedOn w:val="TableNormal"/>
    <w:uiPriority w:val="39"/>
    <w:rsid w:val="001A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C43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70C2-40E2-469D-8450-55DF34A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Gayane Kolyan</cp:lastModifiedBy>
  <cp:revision>14</cp:revision>
  <cp:lastPrinted>2020-10-13T13:36:00Z</cp:lastPrinted>
  <dcterms:created xsi:type="dcterms:W3CDTF">2020-10-13T13:36:00Z</dcterms:created>
  <dcterms:modified xsi:type="dcterms:W3CDTF">2021-03-15T14:01:00Z</dcterms:modified>
</cp:coreProperties>
</file>