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0A" w:rsidRDefault="004B6F0A" w:rsidP="007F693B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ՀԻՄՆԱՎՈՐՈՒՄ</w:t>
      </w:r>
    </w:p>
    <w:p w:rsidR="004B6F0A" w:rsidRDefault="004B6F0A" w:rsidP="007F693B">
      <w:pPr>
        <w:spacing w:line="360" w:lineRule="auto"/>
        <w:ind w:firstLine="720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«ՀԱՅԱՍՏԱՆԻ ՀԱՆՐԱՊԵՏՈՒԹՅԱՆ ԿԱՌԱՎԱՐՈՒԹՅԱՆ 2020 ԹՎԱԿԱՆԻ ԱՊՐԻԼԻ 30-Ի N 718-Ն ՈՐՈՇՄԱՆ ՄԵՋ ԼՐԱՑՈՒՄՆԵՐ ԿԱՏԱՐԵԼՈՒ ՄԱՍԻՆ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» ՀԱՅԱՍՏԱՆԻ ՀԱՆՐԱՊԵՏՈՒԹՅԱՆ ԿԱՌԱՎԱՐՈՒԹՅԱՆ ՈՐՈՇՄԱՆ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</w:t>
      </w:r>
    </w:p>
    <w:p w:rsidR="004B6F0A" w:rsidRDefault="004B6F0A" w:rsidP="007F693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:rsidR="004B6F0A" w:rsidRDefault="004B6F0A" w:rsidP="007F693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1.  </w:t>
      </w:r>
      <w:r w:rsidR="00473BDF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Ընթացիկ վիճակը, իրավական ակտի ընդունման անհրաժեշտությունը.</w:t>
      </w:r>
    </w:p>
    <w:p w:rsidR="00473BDF" w:rsidRDefault="00473BDF" w:rsidP="007F693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«Հայաստանի Հանրապետությունում ստուգումների կազմակերպման և անցկացման մասին» օրենքի 3-րդ հոդվածի 1.1-ին մասի  համաձայն՝ բոլոր ստուգումները, բացառությամբ ՏՄՊՊՀ-ի, ինչպես նաև պետական բյուջեի կատարման ուղղությամբ տարվող աշխատանքների` ներառյալ պետական պատվերի տեղադրման (գնումների գործընթացի) ճշտության և օրինականության նկատմամբ հսկողությունը, անցկացվում են բացառապես ստուգաթերթերի հիման վրա, որոնք հաստատում է ՀՀ կառավարությունը: </w:t>
      </w:r>
    </w:p>
    <w:p w:rsidR="00E75571" w:rsidRDefault="004B6F0A" w:rsidP="007F693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Հայաստանի Հանրապետության </w:t>
      </w:r>
      <w:r w:rsidR="008A564D"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կառավար</w:t>
      </w:r>
      <w:r w:rsidR="008A564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ության 2020 թվականի ապրիլի 30-ի</w:t>
      </w:r>
      <w:r w:rsidR="008A564D" w:rsidRPr="008A564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N</w:t>
      </w:r>
      <w:r w:rsidR="008A564D"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718-</w:t>
      </w:r>
      <w:r w:rsidR="008A564D" w:rsidRPr="008A564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Ն</w:t>
      </w:r>
      <w:r w:rsidR="008A564D"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որոշմա</w:t>
      </w:r>
      <w:r w:rsidR="008A564D" w:rsidRPr="008A564D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մբ հաստատվել են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առողջապահական և աշխատանքի տեսչական մարմնի</w:t>
      </w:r>
      <w:r w:rsidRPr="004B6F0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կողմից</w:t>
      </w:r>
      <w:r w:rsidRPr="004B6F0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  <w:r w:rsidR="00E75571" w:rsidRPr="00B21D1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սանիտարահիգիենիկ և հակահամաճարակային, դեղերի շրջանառության և դեղագործական գործունեության,</w:t>
      </w:r>
      <w:r w:rsidR="00E7557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</w:t>
      </w:r>
      <w:r w:rsidR="00E75571" w:rsidRPr="00B21D1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բժշկական օգնության և սպասարկման, ինչպես նաև աշխատողների առողջության պահպանման և անվտանգության ապահովման </w:t>
      </w:r>
      <w:r w:rsidR="00473BD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բնագավառներում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իրականացվող </w:t>
      </w:r>
      <w:r w:rsidR="00473BDF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ստուգումների թվով 14 ստուգաթերթեր</w:t>
      </w:r>
      <w:r w:rsidR="008A564D" w:rsidRPr="008A564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,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որոնք,</w:t>
      </w:r>
      <w:r w:rsidR="008A564D" w:rsidRPr="008A564D">
        <w:rPr>
          <w:rFonts w:ascii="Sylfaen" w:hAnsi="Sylfaen" w:cs="Sylfaen"/>
          <w:color w:val="222222"/>
          <w:sz w:val="20"/>
          <w:szCs w:val="20"/>
          <w:shd w:val="clear" w:color="auto" w:fill="FFFFFF"/>
          <w:lang w:val="hy-AM"/>
        </w:rPr>
        <w:t xml:space="preserve"> </w:t>
      </w:r>
      <w:r w:rsidR="008A564D" w:rsidRPr="008A564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սակայն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,</w:t>
      </w:r>
      <w:r w:rsidR="008A564D" w:rsidRPr="008A564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չեն ներառում </w:t>
      </w:r>
      <w:r w:rsidR="00BD25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տեսչական մարմնի </w:t>
      </w:r>
      <w:r w:rsidR="008A564D" w:rsidRPr="008A564D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վ</w:t>
      </w:r>
      <w:r w:rsidR="00BD258A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երահսկողության ամբողջ շրջանակը։ Ուստի անհրաժեշտ է 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որոշման համապատասխան հավելվածները լրացնել առանձին բնագավառների վերահսկողության ստուգաթերթերով։</w:t>
      </w:r>
    </w:p>
    <w:p w:rsidR="00E75571" w:rsidRPr="00E75571" w:rsidRDefault="004B6F0A" w:rsidP="007F693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E75571"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2. </w:t>
      </w:r>
      <w:r w:rsidR="00E75571" w:rsidRPr="00E75571">
        <w:rPr>
          <w:rFonts w:ascii="GHEA Grapalat" w:hAnsi="GHEA Grapalat"/>
          <w:b/>
          <w:color w:val="000000"/>
          <w:sz w:val="24"/>
          <w:szCs w:val="24"/>
          <w:lang w:val="hy-AM"/>
        </w:rPr>
        <w:t>Կարգավորման նպատակը և բնույթը</w:t>
      </w:r>
    </w:p>
    <w:p w:rsidR="007F693B" w:rsidRDefault="004B6F0A" w:rsidP="007F693B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Նախագծի ընդունման նպատակն է 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հաստատել հետևյալ բնագավառների ստու</w:t>
      </w:r>
      <w:r w:rsidR="00A23F4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գա</w:t>
      </w:r>
      <w:r w:rsidR="00E7557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թերթերը</w:t>
      </w:r>
      <w:r w:rsidR="00A23F41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.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</w:t>
      </w:r>
    </w:p>
    <w:p w:rsidR="00801FD3" w:rsidRPr="007F693B" w:rsidRDefault="00801FD3" w:rsidP="007F693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bCs/>
          <w:iCs/>
          <w:noProof/>
          <w:lang w:val="hy-AM"/>
        </w:rPr>
      </w:pPr>
      <w:r w:rsidRPr="00801FD3">
        <w:rPr>
          <w:rFonts w:ascii="GHEA Grapalat" w:hAnsi="GHEA Grapalat"/>
          <w:bCs/>
          <w:lang w:val="hy-AM" w:eastAsia="ru-RU"/>
        </w:rPr>
        <w:lastRenderedPageBreak/>
        <w:t>«Տարրական, հիմնական և միջնակարգ, նախնական մասնագիտական (արհեստագործական) և միջին մասնագիտական կրթության հաստատություններում սանիտարահիգիենիկ և հակահամաճարակային բնագավառի վերահսկողություն»,</w:t>
      </w:r>
    </w:p>
    <w:p w:rsidR="00801FD3" w:rsidRPr="00801FD3" w:rsidRDefault="00801FD3" w:rsidP="007F693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bCs/>
          <w:lang w:val="hy-AM" w:eastAsia="ru-RU"/>
        </w:rPr>
      </w:pPr>
      <w:r w:rsidRPr="00801FD3">
        <w:rPr>
          <w:rFonts w:ascii="GHEA Grapalat" w:hAnsi="GHEA Grapalat"/>
          <w:bCs/>
          <w:lang w:val="hy-AM" w:eastAsia="ru-RU"/>
        </w:rPr>
        <w:t xml:space="preserve">«Բաղնիքների գործունեության և սպորտային օբյեկտների գործունեության հաստատություններում սանիտարահիգիենիկ և հակահամաճարակային բնագավառի վերահսկողություն», </w:t>
      </w:r>
    </w:p>
    <w:p w:rsidR="00801FD3" w:rsidRPr="007F693B" w:rsidRDefault="00801FD3" w:rsidP="007F693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bCs/>
          <w:lang w:val="hy-AM" w:eastAsia="ru-RU"/>
        </w:rPr>
      </w:pPr>
      <w:r w:rsidRPr="007F693B">
        <w:rPr>
          <w:rFonts w:ascii="GHEA Grapalat" w:hAnsi="GHEA Grapalat"/>
          <w:bCs/>
          <w:lang w:val="hy-AM" w:eastAsia="ru-RU"/>
        </w:rPr>
        <w:t>«Վարսավիրանոցների և գեղեցկության սրահների այլ ծառայությունների հաստատություններում սանիտարահիգիենիկ և հակահամաճարակային բնագավառի վերահսկողություն»,</w:t>
      </w:r>
    </w:p>
    <w:p w:rsidR="00801FD3" w:rsidRPr="007F693B" w:rsidRDefault="00801FD3" w:rsidP="007F693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bCs/>
          <w:lang w:val="hy-AM" w:eastAsia="ru-RU"/>
        </w:rPr>
      </w:pPr>
      <w:r w:rsidRPr="007F693B">
        <w:rPr>
          <w:rFonts w:ascii="GHEA Grapalat" w:hAnsi="GHEA Grapalat"/>
          <w:bCs/>
          <w:lang w:val="hy-AM" w:eastAsia="ru-RU"/>
        </w:rPr>
        <w:t xml:space="preserve">«Դեղերի մեծածախ իրացման </w:t>
      </w:r>
      <w:r w:rsidR="00AF16E0">
        <w:rPr>
          <w:rFonts w:ascii="GHEA Grapalat" w:hAnsi="GHEA Grapalat"/>
          <w:bCs/>
          <w:lang w:val="hy-AM" w:eastAsia="ru-RU"/>
        </w:rPr>
        <w:t>վերահսկողություն</w:t>
      </w:r>
      <w:r w:rsidRPr="007F693B">
        <w:rPr>
          <w:rFonts w:ascii="GHEA Grapalat" w:hAnsi="GHEA Grapalat"/>
          <w:bCs/>
          <w:lang w:val="hy-AM" w:eastAsia="ru-RU"/>
        </w:rPr>
        <w:t>»,</w:t>
      </w:r>
    </w:p>
    <w:p w:rsidR="00801FD3" w:rsidRPr="007F693B" w:rsidRDefault="00801FD3" w:rsidP="007F693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bCs/>
          <w:lang w:val="hy-AM" w:eastAsia="ru-RU"/>
        </w:rPr>
      </w:pPr>
      <w:r w:rsidRPr="007F693B">
        <w:rPr>
          <w:rFonts w:ascii="GHEA Grapalat" w:hAnsi="GHEA Grapalat"/>
          <w:bCs/>
          <w:lang w:val="hy-AM" w:eastAsia="ru-RU"/>
        </w:rPr>
        <w:t xml:space="preserve">«0-ից 18 տարեկան անձանց արտահիվանդանոցային բժշկական օգնության և սպասարկման վերահսկողություն»,  </w:t>
      </w:r>
    </w:p>
    <w:p w:rsidR="00801FD3" w:rsidRPr="007F693B" w:rsidRDefault="00801FD3" w:rsidP="007F693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bCs/>
          <w:lang w:val="hy-AM" w:eastAsia="ru-RU"/>
        </w:rPr>
      </w:pPr>
      <w:r w:rsidRPr="007F693B">
        <w:rPr>
          <w:rFonts w:ascii="GHEA Grapalat" w:hAnsi="GHEA Grapalat"/>
          <w:bCs/>
          <w:lang w:val="hy-AM" w:eastAsia="ru-RU"/>
        </w:rPr>
        <w:t>«18 տարեկանից բարձր անձանց արտահիվանդանոցային բժշկական օգնության և սպասարկման վերահսկողություն մեծահասակների և խառը տիպի պոլիկլինիկայում»,</w:t>
      </w:r>
    </w:p>
    <w:p w:rsidR="00801FD3" w:rsidRPr="007F693B" w:rsidRDefault="00801FD3" w:rsidP="007F693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bCs/>
          <w:lang w:val="hy-AM" w:eastAsia="ru-RU"/>
        </w:rPr>
      </w:pPr>
      <w:r w:rsidRPr="007F693B">
        <w:rPr>
          <w:rFonts w:ascii="GHEA Grapalat" w:hAnsi="GHEA Grapalat"/>
          <w:bCs/>
          <w:lang w:val="hy-AM" w:eastAsia="ru-RU"/>
        </w:rPr>
        <w:t xml:space="preserve">«Դպրոց-նախադպրոցական, միջին մասնագիտական, բարձրագույն մասնագիտական ուսումնական հաստատությունների, մարզադպրոցների, </w:t>
      </w:r>
      <w:r w:rsidR="00CA54E0">
        <w:rPr>
          <w:rFonts w:ascii="GHEA Grapalat" w:hAnsi="GHEA Grapalat"/>
          <w:bCs/>
          <w:lang w:val="hy-AM" w:eastAsia="ru-RU"/>
        </w:rPr>
        <w:t>տ</w:t>
      </w:r>
      <w:r w:rsidRPr="007F693B">
        <w:rPr>
          <w:rFonts w:ascii="GHEA Grapalat" w:hAnsi="GHEA Grapalat"/>
          <w:bCs/>
          <w:lang w:val="hy-AM" w:eastAsia="ru-RU"/>
        </w:rPr>
        <w:t>րանսպորտային հավաքակայանների վարորդների բուժզննման կետերում»,</w:t>
      </w:r>
    </w:p>
    <w:p w:rsidR="00801FD3" w:rsidRPr="007F693B" w:rsidRDefault="00801FD3" w:rsidP="007F693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bCs/>
          <w:lang w:val="hy-AM" w:eastAsia="ru-RU"/>
        </w:rPr>
      </w:pPr>
      <w:r w:rsidRPr="007F693B">
        <w:rPr>
          <w:rFonts w:ascii="GHEA Grapalat" w:hAnsi="GHEA Grapalat"/>
          <w:bCs/>
          <w:lang w:val="hy-AM" w:eastAsia="ru-RU"/>
        </w:rPr>
        <w:t>«Գյուղական բժշկական ամբուլատորիայում, գյուղական առողջության կենտրոնում, ընտանեկան բժշկի գրասենյակում, բուժակ-մանկաբարձական կետում իրականացվող բժշկական օգնության և սպասարկման վերահսկողություն»,</w:t>
      </w:r>
    </w:p>
    <w:p w:rsidR="00801FD3" w:rsidRPr="007F693B" w:rsidRDefault="00801FD3" w:rsidP="007F693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bCs/>
          <w:lang w:val="hy-AM" w:eastAsia="ru-RU"/>
        </w:rPr>
      </w:pPr>
      <w:r w:rsidRPr="007F693B">
        <w:rPr>
          <w:rFonts w:ascii="GHEA Grapalat" w:hAnsi="GHEA Grapalat"/>
          <w:bCs/>
          <w:lang w:val="hy-AM" w:eastAsia="ru-RU"/>
        </w:rPr>
        <w:t>«Մասնագիտացված  բժշկական օգնություն և սպասարկում Առողջապահության բնագավառում այլ գործունեության վերահսկողություն: Լաբորատոր-գործիքային ախտորոշիչ հետազոտությունների իրականացում։»,</w:t>
      </w:r>
    </w:p>
    <w:p w:rsidR="00801FD3" w:rsidRPr="007F693B" w:rsidRDefault="00801FD3" w:rsidP="007F693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bCs/>
          <w:lang w:val="hy-AM" w:eastAsia="ru-RU"/>
        </w:rPr>
      </w:pPr>
      <w:r w:rsidRPr="007F693B">
        <w:rPr>
          <w:rFonts w:ascii="GHEA Grapalat" w:hAnsi="GHEA Grapalat"/>
          <w:bCs/>
          <w:lang w:val="hy-AM" w:eastAsia="ru-RU"/>
        </w:rPr>
        <w:t>«Մասնագիտացված  բժ</w:t>
      </w:r>
      <w:r w:rsidR="00AF16E0">
        <w:rPr>
          <w:rFonts w:ascii="GHEA Grapalat" w:hAnsi="GHEA Grapalat"/>
          <w:bCs/>
          <w:lang w:val="hy-AM" w:eastAsia="ru-RU"/>
        </w:rPr>
        <w:t>շկական օգնություն և սպասարկում</w:t>
      </w:r>
      <w:r w:rsidR="00AF16E0" w:rsidRPr="00AF16E0">
        <w:rPr>
          <w:rFonts w:ascii="GHEA Grapalat" w:hAnsi="GHEA Grapalat"/>
          <w:bCs/>
          <w:lang w:val="hy-AM" w:eastAsia="ru-RU"/>
        </w:rPr>
        <w:t xml:space="preserve">. </w:t>
      </w:r>
      <w:r w:rsidRPr="007F693B">
        <w:rPr>
          <w:rFonts w:ascii="GHEA Grapalat" w:hAnsi="GHEA Grapalat"/>
          <w:bCs/>
          <w:lang w:val="hy-AM" w:eastAsia="ru-RU"/>
        </w:rPr>
        <w:t xml:space="preserve">Արտահիվանդանոցային մանկաբարձագինեկոլոգիական  բժշկական օգնության և սպասարկման վերահսկողություն» </w:t>
      </w:r>
      <w:r w:rsidR="00CA54E0">
        <w:rPr>
          <w:rFonts w:ascii="GHEA Grapalat" w:hAnsi="GHEA Grapalat"/>
          <w:bCs/>
          <w:lang w:val="hy-AM" w:eastAsia="ru-RU"/>
        </w:rPr>
        <w:t>,</w:t>
      </w:r>
      <w:bookmarkStart w:id="0" w:name="_GoBack"/>
      <w:bookmarkEnd w:id="0"/>
    </w:p>
    <w:p w:rsidR="00E75571" w:rsidRPr="007F693B" w:rsidRDefault="00801FD3" w:rsidP="007F693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0" w:firstLine="360"/>
        <w:jc w:val="both"/>
        <w:rPr>
          <w:rFonts w:ascii="GHEA Grapalat" w:hAnsi="GHEA Grapalat"/>
          <w:bCs/>
          <w:lang w:val="hy-AM" w:eastAsia="ru-RU"/>
        </w:rPr>
      </w:pPr>
      <w:r w:rsidRPr="007F693B">
        <w:rPr>
          <w:rFonts w:ascii="GHEA Grapalat" w:hAnsi="GHEA Grapalat"/>
          <w:bCs/>
          <w:lang w:val="hy-AM" w:eastAsia="ru-RU"/>
        </w:rPr>
        <w:lastRenderedPageBreak/>
        <w:t>«Շտապ և անհետաձգելի բժշկական օգնության և սպասարկման վերահսկողություն»:</w:t>
      </w:r>
    </w:p>
    <w:p w:rsidR="00E75571" w:rsidRPr="00005A88" w:rsidRDefault="00E75571" w:rsidP="007F693B">
      <w:pPr>
        <w:tabs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005A88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«Ստուգումների մասին» օրենքի 3-րդ հոդվածի 1.1-ին մասի համաձայն Ստուգաթերթերի հարցերը ձևավորվում են նվազագույն բավարարության սկզբունքի համաձայն և չեն ընդգրկում այն պահանջները, որոնց պահպանումը չի նպաստում տնտեսավարող սուբյեկտի գործունեությունից առաջացող ռիսկերի նվազեցմանը:</w:t>
      </w:r>
    </w:p>
    <w:p w:rsidR="00E75571" w:rsidRPr="00AA7C80" w:rsidRDefault="00E75571" w:rsidP="007F693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sz w:val="24"/>
          <w:szCs w:val="24"/>
          <w:lang w:val="hy-AM"/>
        </w:rPr>
      </w:pP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Նշված պահանջը ապահովելու նպատակով նախագիծը մշակող մարմնի կողմից նախապես իրականացվել է ոլորտի իրավական ակտերով սահմանված պահանջների ռիսկայնության գնահատում։ Այնուհետև, մշակված ստուգաթերթերը տնտեսավարող սուբյեկտների մոտ անցել են նախնական փորձարկում (որոշ դեպքերում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՝</w:t>
      </w: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 մեկից ավել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ի տնտեսավարողների մոտ</w:t>
      </w: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) կամ դրանք քննարկվել են ոլորտի մի քանի  տն</w:t>
      </w:r>
      <w:r w:rsidR="000E7E81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տեսավարող սուբյեկտների շրջանում</w:t>
      </w: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, որոնց ընթացքում արձանագրվել և հաշվի են առնվել վերջիններիս դիտողություններն ու առաջարկությունները, ինչի  արդյունքում ստուգաթերթերում ներառվել են </w:t>
      </w:r>
      <w:r>
        <w:rPr>
          <w:rFonts w:ascii="GHEA Grapalat" w:eastAsia="Times New Roman" w:hAnsi="GHEA Grapalat"/>
          <w:bCs/>
          <w:iCs/>
          <w:sz w:val="24"/>
          <w:szCs w:val="24"/>
          <w:lang w:val="hy-AM"/>
        </w:rPr>
        <w:t xml:space="preserve">ոլորտի </w:t>
      </w:r>
      <w:r w:rsidRPr="00AA7C80">
        <w:rPr>
          <w:rFonts w:ascii="GHEA Grapalat" w:eastAsia="Times New Roman" w:hAnsi="GHEA Grapalat"/>
          <w:bCs/>
          <w:iCs/>
          <w:sz w:val="24"/>
          <w:szCs w:val="24"/>
          <w:lang w:val="hy-AM"/>
        </w:rPr>
        <w:t>առավել ռիսկային հարցերը։</w:t>
      </w:r>
    </w:p>
    <w:p w:rsidR="004B6F0A" w:rsidRDefault="004B6F0A" w:rsidP="007F693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:rsidR="004B6F0A" w:rsidRDefault="004B6F0A" w:rsidP="007F693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>4. Ակնկալվող արդյունքը</w:t>
      </w:r>
    </w:p>
    <w:p w:rsidR="004B6F0A" w:rsidRDefault="004B6F0A" w:rsidP="007F693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 ընդունման արդյունքում ակնկալվում է ապահովել տեսչական մարմինների բնականոն գործունեության ընթացքի հետ կապված իրավական հիմքերը:</w:t>
      </w:r>
    </w:p>
    <w:p w:rsidR="004B6F0A" w:rsidRDefault="004B6F0A" w:rsidP="007F693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:rsidR="004B6F0A" w:rsidRDefault="004B6F0A" w:rsidP="007F693B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b/>
          <w:bCs/>
          <w:iCs/>
          <w:noProof/>
          <w:sz w:val="24"/>
          <w:szCs w:val="24"/>
          <w:lang w:val="hy-AM"/>
        </w:rPr>
        <w:t xml:space="preserve">5. </w:t>
      </w:r>
      <w:r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Նախագծի մշակման գործընթացում ներգրավված ինստիտուտները և անձինք</w:t>
      </w:r>
    </w:p>
    <w:p w:rsidR="004B6F0A" w:rsidRDefault="004B6F0A" w:rsidP="007F693B">
      <w:pPr>
        <w:spacing w:after="0" w:line="360" w:lineRule="auto"/>
        <w:ind w:firstLine="720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Նախագիծը մշակվել է ՀՀ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առողջապահական և աշխատանքի </w:t>
      </w: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տեսչական մարմնի և ՀՀ վարչապետի աշխատակազմի տեսչական մարմինների աշխատանքների համակարգման գրասենյակի կողմից:</w:t>
      </w:r>
    </w:p>
    <w:p w:rsidR="004B6F0A" w:rsidRDefault="004B6F0A" w:rsidP="007F693B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:rsidR="004B6F0A" w:rsidRDefault="004B6F0A" w:rsidP="007F693B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:rsidR="004B6F0A" w:rsidRDefault="004B6F0A" w:rsidP="007F693B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ՏԵՂԵԿԱՆՔ</w:t>
      </w:r>
    </w:p>
    <w:p w:rsidR="004B6F0A" w:rsidRDefault="004B6F0A" w:rsidP="007F693B">
      <w:pPr>
        <w:spacing w:line="360" w:lineRule="auto"/>
        <w:ind w:firstLine="720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lastRenderedPageBreak/>
        <w:t>«ՀԱՅԱՍՏԱՆԻ ՀԱՆՐԱՊԵՏՈՒԹՅԱՆ ԿԱՌԱՎԱՐՈՒԹՅԱՆ 2020 ԹՎԱԿԱՆԻ ԱՊՐԻԼԻ 30-Ի N 718-Ն ՈՐՈՇՄԱՆ ՄԵՋ ԼՐԱՑՈՒՄՆԵՐ ԿԱՏԱՐԵԼՈՒ ՄԱՍԻՆ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» ՀՀ ԿԱՌԱՎԱՐՈՒԹՅԱՆ ՈՐՈՇՄԱՆ </w:t>
      </w: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ԸՆԴՈՒՆՄԱՆ ԿԱՊԱԿՑՈՒԹՅԱՄԲ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 ՀԱՅԱՍՏԱՆԻ ՀԱՆՐԱՊԵՏՈՒԹՅԱՆ ՊԵՏԱԿԱՆ ԲՅՈՒՋԵԻ ԵԿԱՄՏԱՅԻՆ և ԾԱԽՍԱՅԻՆ ՄԱՍԵՐՈՒՄ ՓՈՓՈԽՈՒԹՅՈՒՆՆԵՐԻ ՄԱՍԻՆ</w:t>
      </w:r>
    </w:p>
    <w:p w:rsidR="004B6F0A" w:rsidRDefault="004B6F0A" w:rsidP="007F693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iCs/>
          <w:noProof/>
          <w:sz w:val="10"/>
          <w:szCs w:val="24"/>
          <w:lang w:val="hy-AM"/>
        </w:rPr>
      </w:pPr>
    </w:p>
    <w:p w:rsidR="004B6F0A" w:rsidRDefault="004B6F0A" w:rsidP="007F693B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«</w:t>
      </w: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Հայաստանի Հհանրապետության կառավարության 2020 թվականի ապրիլի 30-ի N 718-</w:t>
      </w:r>
      <w:r w:rsidR="00E7557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Ն</w:t>
      </w: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որոշման մեջ լրացումներ կատարելու մասին</w:t>
      </w:r>
      <w:r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» ՀՀ կառավարության որոշման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նախագծի ընդունման կապակցությամբ </w:t>
      </w:r>
      <w:r>
        <w:rPr>
          <w:rFonts w:ascii="GHEA Grapalat" w:hAnsi="GHEA Grapalat"/>
          <w:sz w:val="24"/>
          <w:szCs w:val="24"/>
          <w:lang w:val="hy-AM"/>
        </w:rPr>
        <w:t>պետական կամ տեղական ինքնակառավարման մարմնի բյուջեում եկամուտների և ծախսերի էական ավելացում կամ նվազեցում չի նախատեսվում:</w:t>
      </w:r>
    </w:p>
    <w:p w:rsidR="004B6F0A" w:rsidRDefault="004B6F0A" w:rsidP="007F693B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:rsidR="004B6F0A" w:rsidRPr="008A564D" w:rsidRDefault="004B6F0A" w:rsidP="007F693B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</w:p>
    <w:p w:rsidR="004B6F0A" w:rsidRDefault="004B6F0A" w:rsidP="007F693B">
      <w:pPr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ՏԵՂԵԿԱՆՔ</w:t>
      </w:r>
    </w:p>
    <w:p w:rsidR="004B6F0A" w:rsidRDefault="004B6F0A" w:rsidP="007F693B">
      <w:pPr>
        <w:spacing w:line="360" w:lineRule="auto"/>
        <w:ind w:firstLine="720"/>
        <w:jc w:val="center"/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</w:pP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«ՀԱՅԱՍՏԱՆԻ ՀԱՆՐԱՊԵՏՈՒԹՅԱՆ ԿԱՌԱՎԱՐՈՒԹՅԱՆ 2020 ԹՎԱԿԱՆԻ ԱՊՐԻԼԻ 30-Ի N 718-Ն ՈՐՈՇՄԱՆ ՄԵՋ ԼՐԱՑՈՒՄՆԵՐ ԿԱՏԱՐԵԼՈՒ ՄԱՍԻՆ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» ՀՀ ԿԱՌԱՎԱՐՈՒԹՅԱՆ ՈՐՈՇՄԱՆ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ԸՆԴՈՒՆՄԱՆ ԿԱՊԱԿՑՈՒԹՅԱՄԲ ԱՅԼ ԻՐԱՎԱԿԱՆ ԱԿՏԵՐՈՒՄ ՓՈՓՈԽՈՒԹՅՈՒՆՆԵՐ ԿԱՄ ԼՐԱՑՈՒՄՆԵՐ ԿԱՏԱՐԵԼՈՒ ԱՆՀՐԱԺԵՇՏՈՒԹՅԱՆ ՄԱՍԻՆ</w:t>
      </w:r>
    </w:p>
    <w:p w:rsidR="004B6F0A" w:rsidRDefault="004B6F0A" w:rsidP="007F693B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bCs/>
          <w:iCs/>
          <w:noProof/>
          <w:sz w:val="8"/>
          <w:szCs w:val="24"/>
          <w:lang w:val="hy-AM"/>
        </w:rPr>
      </w:pPr>
    </w:p>
    <w:p w:rsidR="00F57540" w:rsidRPr="000E7E81" w:rsidRDefault="004B6F0A" w:rsidP="000E7E81">
      <w:pPr>
        <w:tabs>
          <w:tab w:val="left" w:pos="993"/>
        </w:tabs>
        <w:spacing w:after="0" w:line="360" w:lineRule="auto"/>
        <w:ind w:firstLine="567"/>
        <w:jc w:val="both"/>
        <w:rPr>
          <w:rFonts w:asciiTheme="minorHAnsi" w:eastAsia="Times New Roman" w:hAnsiTheme="minorHAnsi"/>
          <w:bCs/>
          <w:iCs/>
          <w:noProof/>
          <w:sz w:val="20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«</w:t>
      </w: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Հայաստանի Հհանրապետության կառավարության 2020 թվականի ապրիլի 30-ի N 718-</w:t>
      </w:r>
      <w:r w:rsidR="00E75571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Ն</w:t>
      </w:r>
      <w:r w:rsidRPr="004B6F0A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որոշման մեջ լրացումներ կատարելու մասին</w:t>
      </w:r>
      <w:r>
        <w:rPr>
          <w:rFonts w:ascii="GHEA Grapalat" w:eastAsia="Times New Roman" w:hAnsi="GHEA Grapalat" w:cs="GHEA Grapalat"/>
          <w:bCs/>
          <w:iCs/>
          <w:noProof/>
          <w:sz w:val="24"/>
          <w:szCs w:val="24"/>
          <w:lang w:val="hy-AM"/>
        </w:rPr>
        <w:t xml:space="preserve">» ՀՀ կառավարության որոշման </w:t>
      </w:r>
      <w:r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նախագծի ընդունման կապակցությամբ այլ իրավական ակտերում փոփոխություններ կամ լրացումներ կատարելու անհրաժեշտություն չի առաջանում:</w:t>
      </w:r>
    </w:p>
    <w:sectPr w:rsidR="00F57540" w:rsidRPr="000E7E8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389F"/>
    <w:multiLevelType w:val="hybridMultilevel"/>
    <w:tmpl w:val="D3364F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81746"/>
    <w:multiLevelType w:val="hybridMultilevel"/>
    <w:tmpl w:val="9720233C"/>
    <w:lvl w:ilvl="0" w:tplc="5B6E0CF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E7A2C51"/>
    <w:multiLevelType w:val="hybridMultilevel"/>
    <w:tmpl w:val="A630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BD"/>
    <w:rsid w:val="00054F08"/>
    <w:rsid w:val="000E7E81"/>
    <w:rsid w:val="00173EDB"/>
    <w:rsid w:val="00453C84"/>
    <w:rsid w:val="00473BDF"/>
    <w:rsid w:val="004B6F0A"/>
    <w:rsid w:val="005E4272"/>
    <w:rsid w:val="00641304"/>
    <w:rsid w:val="006B4940"/>
    <w:rsid w:val="007F693B"/>
    <w:rsid w:val="00801FD3"/>
    <w:rsid w:val="008A564D"/>
    <w:rsid w:val="00925DD8"/>
    <w:rsid w:val="009464BF"/>
    <w:rsid w:val="00A23F41"/>
    <w:rsid w:val="00AF16E0"/>
    <w:rsid w:val="00B21D11"/>
    <w:rsid w:val="00BD258A"/>
    <w:rsid w:val="00CA54E0"/>
    <w:rsid w:val="00E75571"/>
    <w:rsid w:val="00EB0FBD"/>
    <w:rsid w:val="00F5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3A2598-3D32-4763-9209-13F287F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0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564D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B2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7557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E75571"/>
  </w:style>
  <w:style w:type="character" w:styleId="Emphasis">
    <w:name w:val="Emphasis"/>
    <w:uiPriority w:val="20"/>
    <w:qFormat/>
    <w:rsid w:val="00801FD3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01F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Tatevik Soghoyan</cp:lastModifiedBy>
  <cp:revision>7</cp:revision>
  <dcterms:created xsi:type="dcterms:W3CDTF">2020-06-03T09:59:00Z</dcterms:created>
  <dcterms:modified xsi:type="dcterms:W3CDTF">2020-06-08T08:16:00Z</dcterms:modified>
</cp:coreProperties>
</file>