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01" w:rsidRPr="00E55ADF" w:rsidRDefault="00716A01" w:rsidP="00716A01">
      <w:pPr>
        <w:framePr w:hSpace="180" w:wrap="around" w:vAnchor="page" w:hAnchor="margin" w:xAlign="center" w:y="1036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55ADF">
        <w:rPr>
          <w:rFonts w:ascii="GHEA Grapalat" w:hAnsi="GHEA Grapalat"/>
          <w:b/>
          <w:sz w:val="24"/>
          <w:szCs w:val="24"/>
        </w:rPr>
        <w:t>ԱՄՓՈՓԱԹԵՐԹ</w:t>
      </w:r>
    </w:p>
    <w:p w:rsidR="008B3345" w:rsidRPr="00E55ADF" w:rsidRDefault="004F4491" w:rsidP="00716A0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4491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ՀԱՅԱՍՏԱՆԻ ՀԱՆՐԱՊԵՏՈՒԹՅԱՆ ՏԱՐԱԾՔԻՑ ԱՐՏԱՀԱՆՎՈՂ  ԵՎ ՀԱՅԱՍՏԱՆԻ ՀԱՆՐԱՊԵՏՈՒԹՅԱՆ ՏԱՐԱԾՔ ՆԵՐՄՈՒԾՎՈՂ ԹԱՆԿԱՐԺԵՔ ՄԵՏԱՂՆԵՐԻ ԿԱՄ ԹԱՆԿԱՐԺԵՔ ՄԵՏԱՂՆԵՐՈՎ ՊԱՏՎԱԾ ՄԵՏԱՂՆԵՐԻ ՆԿԱՏՄԱՄԲ «ՎԵՐԱՄՇԱԿՈՒՄ` ՄԱՔՍԱՅԻՆ ՏԱՐԱԾՔԻՑ ԴՈՒՐՍ» ՄԱՔՍԱՅԻՆ ԸՆԹԱՑԱԿԱՐԳԻ ԿԻՐԱՌՄԱՆ ՄԱՍԻՆ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»</w:t>
      </w:r>
      <w:r w:rsidR="00151817"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 xml:space="preserve"> Հայաստանի Հանրապետության </w:t>
      </w:r>
      <w:r>
        <w:rPr>
          <w:rFonts w:ascii="GHEA Grapalat" w:eastAsia="Times New Roman" w:hAnsi="GHEA Grapalat" w:cs="Sylfaen"/>
          <w:b/>
          <w:bCs/>
          <w:caps/>
          <w:color w:val="000000"/>
          <w:sz w:val="24"/>
          <w:szCs w:val="24"/>
          <w:lang w:val="hy-AM" w:eastAsia="ru-RU"/>
        </w:rPr>
        <w:t>ԿԱՌԱՎԱՐՈՒԹՅԱՆ ՈՐՈՇՄԱՆ ՆԱԽԱԳԾԻ</w:t>
      </w:r>
      <w:r w:rsidR="00716A01" w:rsidRPr="00E55ADF">
        <w:rPr>
          <w:rFonts w:ascii="GHEA Grapalat" w:hAnsi="GHEA Grapalat" w:cs="Sylfaen"/>
          <w:b/>
          <w:sz w:val="24"/>
        </w:rPr>
        <w:t xml:space="preserve"> </w:t>
      </w:r>
      <w:r w:rsidR="00716A01" w:rsidRPr="00E55ADF">
        <w:rPr>
          <w:rFonts w:ascii="GHEA Grapalat" w:hAnsi="GHEA Grapalat"/>
          <w:b/>
          <w:sz w:val="24"/>
          <w:szCs w:val="24"/>
          <w:lang w:val="af-ZA"/>
        </w:rPr>
        <w:t>ՎԵՐԱԲԵՐՅԱԼ ՍՏԱՑՎԱԾ ԴԻՏՈՂՈՒԹՅՈՒՆՆԵՐԻ ԵՎ ԱՌԱՋԱՐԿՈՒԹՅՈՒՆՆԵՐԻ</w:t>
      </w:r>
    </w:p>
    <w:p w:rsidR="00716A01" w:rsidRDefault="00716A01" w:rsidP="00716A01">
      <w:pPr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7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5400"/>
        <w:gridCol w:w="2250"/>
        <w:gridCol w:w="3690"/>
      </w:tblGrid>
      <w:tr w:rsidR="005D081B" w:rsidRPr="004F4491" w:rsidTr="004F4491">
        <w:tc>
          <w:tcPr>
            <w:tcW w:w="630" w:type="dxa"/>
          </w:tcPr>
          <w:p w:rsidR="005D081B" w:rsidRPr="002D37CA" w:rsidRDefault="005D081B" w:rsidP="006B12A3">
            <w:pPr>
              <w:spacing w:line="276" w:lineRule="auto"/>
              <w:jc w:val="center"/>
              <w:rPr>
                <w:sz w:val="24"/>
                <w:szCs w:val="24"/>
                <w:lang w:val="hy-AM"/>
              </w:rPr>
            </w:pPr>
            <w:r w:rsidRPr="002D37CA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790" w:type="dxa"/>
          </w:tcPr>
          <w:p w:rsidR="005D081B" w:rsidRPr="002D37CA" w:rsidRDefault="005D081B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D37CA">
              <w:rPr>
                <w:rFonts w:ascii="GHEA Grapalat" w:hAnsi="GHEA Grapalat"/>
                <w:sz w:val="24"/>
                <w:szCs w:val="24"/>
                <w:lang w:val="hy-AM"/>
              </w:rPr>
              <w:t>Առաջարկության հեղինակը, գրության ամսաթիվը, գրության համարը</w:t>
            </w:r>
          </w:p>
        </w:tc>
        <w:tc>
          <w:tcPr>
            <w:tcW w:w="5400" w:type="dxa"/>
          </w:tcPr>
          <w:p w:rsidR="005D081B" w:rsidRPr="002D37CA" w:rsidRDefault="005D081B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D37CA"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 w:rsidRPr="002D37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D37CA">
              <w:rPr>
                <w:rFonts w:ascii="GHEA Grapalat" w:hAnsi="GHEA Grapalat"/>
                <w:sz w:val="24"/>
                <w:szCs w:val="24"/>
              </w:rPr>
              <w:t>բովանդակությունը</w:t>
            </w:r>
            <w:proofErr w:type="spellEnd"/>
          </w:p>
        </w:tc>
        <w:tc>
          <w:tcPr>
            <w:tcW w:w="2250" w:type="dxa"/>
          </w:tcPr>
          <w:p w:rsidR="005D081B" w:rsidRPr="002D37CA" w:rsidRDefault="007E5F06" w:rsidP="006B1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37CA"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Առաջարկությունն ընդունելու կամ մերժելու վերաբերյալ եզրակացությունը</w:t>
            </w:r>
          </w:p>
        </w:tc>
        <w:tc>
          <w:tcPr>
            <w:tcW w:w="3690" w:type="dxa"/>
          </w:tcPr>
          <w:p w:rsidR="005D081B" w:rsidRPr="002D37CA" w:rsidRDefault="007E5F06" w:rsidP="006B1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D37CA"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  <w:t>Առաջարկն ընդունելու կամ մերժելու վերաբերյալ դիրքորոշումը</w:t>
            </w:r>
          </w:p>
        </w:tc>
      </w:tr>
      <w:tr w:rsidR="006B12A3" w:rsidRPr="004F4491" w:rsidTr="004F4491">
        <w:tc>
          <w:tcPr>
            <w:tcW w:w="630" w:type="dxa"/>
          </w:tcPr>
          <w:p w:rsidR="006B12A3" w:rsidRPr="002D37CA" w:rsidRDefault="006B12A3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D37C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151817" w:rsidRPr="002D37CA" w:rsidRDefault="00151817" w:rsidP="0015181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37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ՀՀ պետական եկամուտների կոմիտե </w:t>
            </w:r>
          </w:p>
          <w:p w:rsidR="00151817" w:rsidRDefault="00151817" w:rsidP="0015181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37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4F4491">
              <w:t xml:space="preserve"> </w:t>
            </w:r>
            <w:r w:rsidR="004F4491" w:rsidRPr="004F44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01/3-2/37257-2020</w:t>
            </w:r>
            <w:r w:rsidRPr="002D37C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</w:p>
          <w:p w:rsidR="004F4491" w:rsidRPr="004F4491" w:rsidRDefault="004F4491" w:rsidP="0015181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14.06.2020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թ․</w:t>
            </w:r>
          </w:p>
          <w:p w:rsidR="00151817" w:rsidRPr="002D37CA" w:rsidRDefault="00151817" w:rsidP="00151817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6B12A3" w:rsidRPr="002D37CA" w:rsidRDefault="006B12A3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400" w:type="dxa"/>
          </w:tcPr>
          <w:p w:rsidR="004F4491" w:rsidRPr="004F4491" w:rsidRDefault="004F4491" w:rsidP="004F4491">
            <w:pPr>
              <w:tabs>
                <w:tab w:val="left" w:pos="0"/>
                <w:tab w:val="left" w:pos="567"/>
              </w:tabs>
              <w:spacing w:line="276" w:lineRule="auto"/>
              <w:ind w:firstLine="54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«Հայաստանի Հանրապետության տարածքից արտահանվող և Հայաստանի Հանրապետության տարածք ներմուծվող թանկարժեք մետաղների կամ թանկարժեք մետաղներով պատված մետաղների նկատմամբ «վերամշակում՝ մաքսային տարածքից դուրս» մաքսային ընթացակարգի կիրառման մասին» ՀՀ կառավարության որոշման նախագծի (այսուհետ՝ Նախագիծ) վերաբերյալ հայտնում ենք հետևյալը.</w:t>
            </w:r>
          </w:p>
          <w:p w:rsidR="004F4491" w:rsidRPr="004F4491" w:rsidRDefault="004F4491" w:rsidP="004F449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810"/>
              </w:tabs>
              <w:spacing w:line="276" w:lineRule="auto"/>
              <w:ind w:left="0" w:firstLine="54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Նախագիծը մշակվել է Եվրասիական տնտեսական հանձնաժողովի կոլեգիայի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21.04.2015թ. N 30 որոշման 14-րդ հավելվածով հաստատված՝ «Թանկարժեք 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տարածքից արտահանելու մասին» կարգի (այսուհետ՝ Կարգ) 10-րդ կետին համապատասխան, որի համաձայն՝ թանկարժեք մետաղների կամ թանկարժեք մետաղներից պատվածք ունեցող մետաղների (ԵԱՏՄ ԱՏԳ ԱԱ 7106-ից, 7107 00 000 0, 7108-ից, 7109 00 000 0, 7110 և 7111 00 000 0 ծածկագրերից)՝ «մաքսային տարածքից դուրս վերամշակում» մաքսային ընթացակարգով ձևակերպումը չի թույլատրվում, եթե վերամշակումից ստացվող արդյունք են համարվում ոսկերչական արտադրատեսակները, վարպետների ձեռքով պատրաստված ոսկյա և արծաթյա արտադրատեսակները, թանկարժեք մետաղներից կամ թանկարժեք մետաղներից պատվածք ունեցող մետաղներից այլ արտադրատեսակներ և դրանց մասերը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(ԵԱՏՄ ԱՏԳ ԱԱ 7113, 7114, 9003 19 000 1, 9021 29 000 0*, 9101**, 9102**, 9103**, 9105 **, 9111**, 9112**, 9113 10 100 0, 9608 10 920 0-ից, 9608 10 990 0-ից և 9608 30 000 0 ծածկագրերից)՝ բացառությամբ այն դեպքերի, երբ անդամ պետության կողմից մաքսային տարածքից դուրս վերամշակման համար այդ ապրանքների արտահանման նկատմամբ քանակական սահմանափակումներ սահմանելու մասին միակողմանիորեն որոշում է ընդունվել «Երրորդ երկրների առնչությամբ ոչ սակագնային կարգավորման միջոցների մասին» արձանագրության («Եվրասիական տնտեսական միության մասին» 29.05.2014թ. պայմանագրի թիվ 7 հավելված) X բաժնին համապատասխան: Այդ դեպքում այդ ապրանքների՝ «մաքսային տարածքից դուրս վերամշակում» մաքսային ընթացակարգով ձևակերպումն իրականացվում է պետական վերահսկողության ակտն անդամ պետության մաքսային մարմին ներկայացնելու դեպքում: Թանկարժեք քարերի՝ Հայաստանի Հանրապետության տարածքից երրորդ երկրներ արտահանման և Հայաստանի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Հանրապետության տարածք երրորդ երկրներից ներմուծման ժամանակ պետական վերահսկողության ակտ տրամադրելու կարգը և պետական վերահսկողության ակտի ձևը սահմանվել է ՀՀ կառավարության 05.11.2015թ. N 1331-Ն որոշմամբ: Ընդ որում, տվյալ որոշման 1-ին հավելվածով հաստատված կարգի 2-րդ կետի համաձայն՝ տվյալ կարգով սահմանված հարաբերությունները կարգավորվում են նաև Եվրասիական տնտեսական հանձնաժողովի կոլեգիայի 16.08.2012թ. «Ոչ սակագնային կարգավորման ոլորտում նորմատիվ իրավական ակտերի մասին» N 134 որոշման դրույթներին համապատասխան: Մինչդեռ, նշյալ որոշմամբ սահմանված՝ թանկարժեք մետաղների և թանկարժեք մետաղներ պարունակող հումքային ապրանքների Եվրասիական տնտեսական միության մաքսային տարածք ներմուծելու և Եվրասիական տնտեսական միության մաքսային տարածքից արտահանելու կարգի վերաբերյալ դրույթներն ուժը կորցրած են ճանաչվել և նշյալ կարգավորումները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ներկայումս ամբողջությամբ վերախմբագրվել են Եվրասիական տնտեսական հանձնաժողովի կոլեգիայի 21.04.2015թ. N 30 որոշման 14-րդ հավելվածով հաստատված Կարգում: Ընդ որում, Կարգում, ի թիվս այլոց, սահմանված են նաև թանկարժեք մետաղների և թանկարժեք մետաղներ պարունակող հումքային ապրանքների պետական վերահսկողության իրականացման կանոնները (Կարգի հավելված 2), ինչպես նաև պետական վերահսկողության ակտի ձևը (Կարգի հավելված 1):</w:t>
            </w:r>
          </w:p>
          <w:p w:rsidR="004F4491" w:rsidRDefault="004F4491" w:rsidP="004F4491">
            <w:pPr>
              <w:tabs>
                <w:tab w:val="left" w:pos="0"/>
                <w:tab w:val="left" w:pos="567"/>
              </w:tabs>
              <w:spacing w:line="276" w:lineRule="auto"/>
              <w:ind w:firstLine="54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Ելնելով վերոգրյալից՝ հայտնում ենք, որ ներկայումս կիրառվող ՀՀ կառավարության 05.11.2015թ. N 1331-Ն որոշմամբ սահմանված իրավակարգավորումները մասամբ չեն համապատասխանում Կարգով սահմանված դրույթներին: Հետևաբար, Նախագծի լիարժեք իրավակիրարկումն ապահովելու նպատակով առաջարկում ենք քննարկել նաև ՀՀ կառավարության 05.11.2015թ. N 1331-Ն որոշումը Կարգին համապատասխանեցնելու նպատակահարմարության հարցը:</w:t>
            </w:r>
          </w:p>
          <w:p w:rsidR="004F4491" w:rsidRPr="004F4491" w:rsidRDefault="004F4491" w:rsidP="004F4491">
            <w:pPr>
              <w:tabs>
                <w:tab w:val="left" w:pos="0"/>
                <w:tab w:val="left" w:pos="567"/>
              </w:tabs>
              <w:spacing w:line="276" w:lineRule="auto"/>
              <w:ind w:firstLine="540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</w:p>
          <w:p w:rsidR="004F4491" w:rsidRPr="004F4491" w:rsidRDefault="004F4491" w:rsidP="004F449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990"/>
              </w:tabs>
              <w:spacing w:line="276" w:lineRule="auto"/>
              <w:ind w:left="0" w:firstLine="54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Նախագծի Հավելված 2-ի II-րդ բաժնով սահմանված են տվյալ հավելվածով սահմանված՝ </w:t>
            </w:r>
            <w:r w:rsidRPr="004F44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արտաքին տնտեսական գործունեության մասնակիցների կողմից </w:t>
            </w:r>
            <w:r w:rsidRPr="004F449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թանկարժեք մետաղների կամ թանկարժեք մետաղներով պատված մետաղների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(</w:t>
            </w:r>
            <w:r w:rsidRPr="004F449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ԵԱՏՄ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4F4491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ԱՏԳ ԱԱ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7106-ից, 7107 00 000 0, 7108-ից, 7109 00 000 0, 7110 և 7111 00 000 0 ծածկագրեր) </w:t>
            </w:r>
            <w:r w:rsidRPr="004F4491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արտահանման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լիցենզավորման ընթացակարգում օգտագործվող հասկացությունները, որտեղ նշված մի շարք հասկացություններ (թանկարժեք մետաղներ, հայտատու, լիցենզիա) կրկնում են Կարգով սահմանված հասկացությունները: Հետևաբար, առաջարկում ենք նշյալ բաժնում սահմանել, որ տվյալ ընթացակարգում օգտագործվող մյուս հասկացությունները կիրառվում են «Երրորդ երկրների առնչությամբ ոչ սակագնային կարգավորման միջոցների մասին» արձանագրությամբ («Եվրասիական տնտեսական միության մասին» 2014 թվականի մայիսի 29-ի պայմանագրի թիվ 7 հավելված) և Եվրասիական տնտեսական հանձնաժողովի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կոլեգիայի 21.04.2015թ. N 30 որոշման 14-րդ հավելվածով հաստատված Կարգով սահմանված իմաստներով:</w:t>
            </w:r>
          </w:p>
          <w:p w:rsidR="004F4491" w:rsidRPr="004F4491" w:rsidRDefault="004F4491" w:rsidP="004F449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990"/>
              </w:tabs>
              <w:spacing w:line="276" w:lineRule="auto"/>
              <w:ind w:left="0" w:firstLine="54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Նախագծի Հավելված 2-ի IV-րդ բաժնի 11-րդ կետի համաձայն՝ Մաքսային ոլորտի լիազոր մարմինը Լիազոր մարմին է ներկայացնում 2020 թվականի ընթացքում, եռամսյակային պարբերականությամբ` արտաքին տնտեսական գործունեության մասնակիցների կողմից «վերամշակում՝ մաքսային տարածքից դուրս» մաքսային ընթացակարգով ձևակերպված Հայաստանի Հանրապետությունից  թանկարժեք մետաղների կամ թանկարժեք մետաղներով պատված մետաղների  (ԵԱՏՄ ԱՏԳ ԱԱ 7106-ից, 7107 00 000 0, 7108-ից, 7109 00 000 0, 7110 և 7111 00 000 0 ծածկագրեր) արտահանման/ներմուծման բնաիրային ծավալների մասին տեղեկատվություն: Մինչդեռ, հստակ չէ, թե մաքսային ոլորտի լիազոր մարմինը ինչպիսի ձևաչափով պետք է ներկայացնի պահանջվող տեղեկատվությունը: Հետևաբար, տվյալ մասով առաջարկում ենք Նախագծի նշյալ կետը լրամշակել:</w:t>
            </w:r>
          </w:p>
          <w:p w:rsidR="004F4491" w:rsidRPr="004F4491" w:rsidRDefault="004F4491" w:rsidP="004F4491">
            <w:pPr>
              <w:numPr>
                <w:ilvl w:val="0"/>
                <w:numId w:val="3"/>
              </w:numPr>
              <w:tabs>
                <w:tab w:val="left" w:pos="0"/>
                <w:tab w:val="left" w:pos="567"/>
                <w:tab w:val="left" w:pos="990"/>
              </w:tabs>
              <w:spacing w:line="276" w:lineRule="auto"/>
              <w:ind w:left="0" w:firstLine="540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Նախագծի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Հավելված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2-ի V-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րդ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բաժնի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19-րդ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կետի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համաձայն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մեկանգամյա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գլխավոր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լիցենզիայի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ժամկետը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չի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կարող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գերազանցել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մեկ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տարին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Լիցենզիայի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ժամկետի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ավարտ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է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համարվում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համապատասխան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տարվա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ավարտը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Առաջարկում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ենք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վերոնշյալ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կետը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խմբագրել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համապատասխանեցնելով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«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Եվրասիական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տնտեսական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միության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մասին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» 29.05.2014թ.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պայմանագրի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7-րդ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հավելվածով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հաստատված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ապրանքների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արտահանման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և (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)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ներմուծման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լիցենզիաների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ու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թույլտվությունների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տրամադրման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կանոնների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9-րդ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կետով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սահմանված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մեկանգամյա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հիմնական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լիցենզիաների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համար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նախատեսված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ժամկետային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կարգավորումներին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: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Միաժամանակ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առաջարկում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ենք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նշյալ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բաժնում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առանձին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կետով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սահմանել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նաև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լիցենզիայի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կորստի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դեպքում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հնարավոր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գործողությունների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վերաբերյալ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կարգավորումներ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հիմք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ընդունելով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վերոնշյալ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պայմանագրի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7-րդ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հավելվածով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հաստատված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՝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ապրանքների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արտահանման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և (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)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ներմուծման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լիցենզիաների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ու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թույլտվությունների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տրամադրման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կանոնների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21-րդ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կետով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սահմանված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ընթացակարգը</w:t>
            </w:r>
            <w:proofErr w:type="spellEnd"/>
            <w:r w:rsidRPr="004F4491">
              <w:rPr>
                <w:rFonts w:ascii="GHEA Grapalat" w:eastAsia="Times New Roman" w:hAnsi="GHEA Grapalat"/>
                <w:sz w:val="24"/>
                <w:szCs w:val="24"/>
              </w:rPr>
              <w:t>:</w:t>
            </w:r>
          </w:p>
          <w:p w:rsidR="006B12A3" w:rsidRPr="004F4491" w:rsidRDefault="006B12A3" w:rsidP="004F4491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0" w:type="dxa"/>
          </w:tcPr>
          <w:p w:rsidR="006B12A3" w:rsidRPr="002D37CA" w:rsidRDefault="006B12A3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37CA" w:rsidRPr="004F4491" w:rsidRDefault="002D37CA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B12A3" w:rsidRPr="004F4491" w:rsidRDefault="006B12A3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44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  <w:r w:rsidR="004F44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ի գիտություն</w:t>
            </w: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37CA" w:rsidRPr="004F4491" w:rsidRDefault="002D37CA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449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Ընդունվել է</w:t>
            </w:r>
            <w:r w:rsidR="004F44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Pr="004F4491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D37CA" w:rsidRPr="004F4491" w:rsidRDefault="002D37CA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51817" w:rsidRDefault="00151817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44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Ընդունվել է</w:t>
            </w: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4F4491" w:rsidRPr="002D37CA" w:rsidRDefault="004F4491" w:rsidP="004F449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2D37C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Ընդունվել</w:t>
            </w:r>
            <w:proofErr w:type="spellEnd"/>
            <w:r w:rsidRPr="002D37C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2D37CA">
              <w:rPr>
                <w:rFonts w:ascii="GHEA Grapalat" w:hAnsi="GHEA Grapalat"/>
                <w:b/>
                <w:sz w:val="24"/>
                <w:szCs w:val="24"/>
              </w:rPr>
              <w:t>է</w:t>
            </w:r>
          </w:p>
          <w:p w:rsidR="004F4491" w:rsidRPr="002D37CA" w:rsidRDefault="004F4491" w:rsidP="004F44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3690" w:type="dxa"/>
          </w:tcPr>
          <w:p w:rsidR="006B12A3" w:rsidRPr="002D37CA" w:rsidRDefault="006B12A3" w:rsidP="006B1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1817" w:rsidRPr="002D37CA" w:rsidRDefault="00151817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1817" w:rsidRPr="002D37CA" w:rsidRDefault="00151817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1817" w:rsidRPr="002D37CA" w:rsidRDefault="00151817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1817" w:rsidRPr="002D37CA" w:rsidRDefault="00151817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1817" w:rsidRPr="002D37CA" w:rsidRDefault="00151817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2D37CA" w:rsidRDefault="002D37CA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4F4491" w:rsidRDefault="004F4491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4F4491" w:rsidRDefault="004F4491" w:rsidP="006B12A3">
            <w:pPr>
              <w:spacing w:line="276" w:lineRule="auto"/>
              <w:ind w:right="-60"/>
              <w:jc w:val="both"/>
              <w:rPr>
                <w:rFonts w:ascii="GHEA Grapalat" w:hAnsi="GHEA Grapalat"/>
                <w:sz w:val="24"/>
                <w:szCs w:val="24"/>
                <w:lang w:val="pt-BR"/>
              </w:rPr>
            </w:pPr>
          </w:p>
          <w:p w:rsidR="00151817" w:rsidRPr="002D37CA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Ներկայումս ՀՀ էկոնոմիկայի նախարարության կողմից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մշակվում է իրավական կարգավորումների փաթեթ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ՀՀ կառավարության 05.11.2015թ. N 1331-Ն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որոշումը՝ </w:t>
            </w:r>
            <w:r w:rsidRPr="004F4491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Եվրասիական տնտեսական հանձնաժողովի կոլեգիայի 21.04.2015թ. N 30 որոշման 14-րդ հավելվածով հաստատված՝ «Թանկարժեք մետաղները և թանկարժեք մետաղներ պարունակող հումքային ապրանքները Եվրասիական տնտեսական միության մաքսային տարածք ներմուծելու և Եվրասիական տնտեսական միության մաքսային տա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րածքից արտահանելու մասին» կարգին համապատասխանեցնելու նպատակով։</w:t>
            </w: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2D37CA" w:rsidRDefault="002D37CA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2D37CA" w:rsidRDefault="002D37CA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37CA"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lastRenderedPageBreak/>
              <w:t>Նախագծում կատարվել է համապատասխան փոփոխություն:</w:t>
            </w: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2D37CA" w:rsidRDefault="002D37CA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4F4491" w:rsidRDefault="004F4491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151817" w:rsidRPr="002D37CA" w:rsidRDefault="00151817" w:rsidP="001518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37CA"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Նախագծում կատարվել է համապատասխան փոփոխություն:</w:t>
            </w: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</w:pPr>
          </w:p>
          <w:p w:rsidR="00943631" w:rsidRPr="002D37CA" w:rsidRDefault="00943631" w:rsidP="009436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D37CA">
              <w:rPr>
                <w:rFonts w:ascii="GHEA Grapalat" w:hAnsi="GHEA Grapalat" w:cs="Verdana"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lastRenderedPageBreak/>
              <w:t>Նախագծում կատարվել է համապատասխան փոփոխություն:</w:t>
            </w:r>
          </w:p>
          <w:p w:rsidR="006B12A3" w:rsidRPr="002D37CA" w:rsidRDefault="006B12A3" w:rsidP="006B1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Strong"/>
                <w:rFonts w:ascii="GHEA Grapalat" w:hAnsi="GHEA Grapalat" w:cs="Verdana"/>
                <w:b w:val="0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5D081B" w:rsidRPr="002D37CA" w:rsidTr="004F4491">
        <w:tc>
          <w:tcPr>
            <w:tcW w:w="630" w:type="dxa"/>
          </w:tcPr>
          <w:p w:rsidR="005D081B" w:rsidRPr="00943631" w:rsidRDefault="00943631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43631">
              <w:rPr>
                <w:rFonts w:ascii="GHEA Grapalat" w:hAnsi="GHEA Grapalat" w:cs="Cambria Math"/>
                <w:sz w:val="24"/>
                <w:szCs w:val="24"/>
                <w:lang w:val="hy-AM"/>
              </w:rPr>
              <w:lastRenderedPageBreak/>
              <w:t>2</w:t>
            </w:r>
            <w:r w:rsidR="00B24351" w:rsidRPr="00943631">
              <w:rPr>
                <w:rFonts w:ascii="GHEA Grapalat" w:hAnsi="GHEA Grapalat" w:cs="Cambria Math"/>
                <w:sz w:val="24"/>
                <w:szCs w:val="24"/>
              </w:rPr>
              <w:t>.</w:t>
            </w:r>
          </w:p>
        </w:tc>
        <w:tc>
          <w:tcPr>
            <w:tcW w:w="2790" w:type="dxa"/>
          </w:tcPr>
          <w:p w:rsidR="005D081B" w:rsidRPr="00943631" w:rsidRDefault="005D081B" w:rsidP="006B12A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ՀՀ ֆինանսների նախարարություն</w:t>
            </w:r>
          </w:p>
          <w:p w:rsidR="005D081B" w:rsidRPr="00943631" w:rsidRDefault="00151817" w:rsidP="006B12A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  <w:r w:rsidR="00943631" w:rsidRPr="00943631">
              <w:rPr>
                <w:rFonts w:ascii="GHEA Grapalat" w:hAnsi="GHEA Grapalat"/>
              </w:rPr>
              <w:t xml:space="preserve"> </w:t>
            </w:r>
            <w:r w:rsidR="00943631"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01/2-4/8981-2020</w:t>
            </w:r>
            <w:r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/</w:t>
            </w:r>
          </w:p>
          <w:p w:rsidR="00943631" w:rsidRPr="00943631" w:rsidRDefault="00943631" w:rsidP="006B12A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17</w:t>
            </w:r>
            <w:r w:rsidRPr="00943631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06</w:t>
            </w:r>
            <w:r w:rsidRPr="00943631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94363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2020թ</w:t>
            </w:r>
            <w:r w:rsidRPr="00943631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51817" w:rsidRPr="00943631" w:rsidRDefault="00151817" w:rsidP="006B12A3">
            <w:pPr>
              <w:spacing w:line="276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</w:tc>
        <w:tc>
          <w:tcPr>
            <w:tcW w:w="5400" w:type="dxa"/>
          </w:tcPr>
          <w:p w:rsidR="00943631" w:rsidRPr="00943631" w:rsidRDefault="00943631" w:rsidP="00943631">
            <w:pPr>
              <w:spacing w:before="120" w:line="276" w:lineRule="auto"/>
              <w:ind w:firstLine="346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bookmarkStart w:id="0" w:name="_GoBack"/>
            <w:bookmarkEnd w:id="0"/>
            <w:r w:rsidRPr="00943631">
              <w:rPr>
                <w:rFonts w:ascii="GHEA Grapalat" w:hAnsi="GHEA Grapalat" w:cs="Sylfaen"/>
                <w:sz w:val="24"/>
                <w:lang w:val="hy-AM"/>
              </w:rPr>
              <w:t>Ս.թ. հունիսի 3-ի Ձեր թիվ 01/4873-2020 գրությամբ ներկայացված՝ «Հայաստանի Հան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րա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պետության տարածքից արտահանվող և Հայաստանի Հանրապետության տարածք ներ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մուծ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վող թանկարժեք մետաղների կամ թանկարժեք մետաղներով պատված մետաղների նկատ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մամբ «Վերամշակում՝ մաքսային տարածքից դուրս» մաքսային ընթացակարգի կիրառ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ման մասին» ՀՀ կառավարության որոշման նախագծի վերաբերյալ հայտ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նում ենք, որ դիտո</w:t>
            </w:r>
            <w:r w:rsidRPr="00943631">
              <w:rPr>
                <w:rFonts w:ascii="GHEA Grapalat" w:hAnsi="GHEA Grapalat" w:cs="Sylfaen"/>
                <w:sz w:val="24"/>
                <w:lang w:val="hy-AM"/>
              </w:rPr>
              <w:softHyphen/>
              <w:t>ղություններ և առաջարկություններ չկան:</w:t>
            </w:r>
          </w:p>
          <w:p w:rsidR="005D081B" w:rsidRPr="00943631" w:rsidRDefault="005D081B" w:rsidP="006B12A3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0" w:type="dxa"/>
          </w:tcPr>
          <w:p w:rsidR="005D081B" w:rsidRPr="00943631" w:rsidRDefault="00FC3F52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43631">
              <w:rPr>
                <w:rFonts w:ascii="GHEA Grapalat" w:hAnsi="GHEA Grapalat"/>
                <w:sz w:val="24"/>
                <w:szCs w:val="24"/>
                <w:lang w:val="hy-AM"/>
              </w:rPr>
              <w:t>Ընդունվել է ի գիտություն</w:t>
            </w:r>
          </w:p>
        </w:tc>
        <w:tc>
          <w:tcPr>
            <w:tcW w:w="3690" w:type="dxa"/>
          </w:tcPr>
          <w:p w:rsidR="005D081B" w:rsidRPr="00943631" w:rsidRDefault="005D081B" w:rsidP="006B12A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716A01" w:rsidRPr="006B12A3" w:rsidRDefault="00716A01" w:rsidP="00716A01">
      <w:pPr>
        <w:jc w:val="center"/>
        <w:rPr>
          <w:lang w:val="hy-AM"/>
        </w:rPr>
      </w:pPr>
    </w:p>
    <w:sectPr w:rsidR="00716A01" w:rsidRPr="006B12A3" w:rsidSect="00AC7F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84E"/>
    <w:multiLevelType w:val="hybridMultilevel"/>
    <w:tmpl w:val="3E0A8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56F"/>
    <w:multiLevelType w:val="hybridMultilevel"/>
    <w:tmpl w:val="EF4E46B2"/>
    <w:lvl w:ilvl="0" w:tplc="BCB4D820">
      <w:start w:val="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24E2D"/>
    <w:multiLevelType w:val="hybridMultilevel"/>
    <w:tmpl w:val="E93A008A"/>
    <w:lvl w:ilvl="0" w:tplc="042B000F">
      <w:start w:val="1"/>
      <w:numFmt w:val="decimal"/>
      <w:lvlText w:val="%1."/>
      <w:lvlJc w:val="left"/>
      <w:pPr>
        <w:ind w:left="1260" w:hanging="360"/>
      </w:pPr>
    </w:lvl>
    <w:lvl w:ilvl="1" w:tplc="042B0019" w:tentative="1">
      <w:start w:val="1"/>
      <w:numFmt w:val="lowerLetter"/>
      <w:lvlText w:val="%2."/>
      <w:lvlJc w:val="left"/>
      <w:pPr>
        <w:ind w:left="1980" w:hanging="360"/>
      </w:pPr>
    </w:lvl>
    <w:lvl w:ilvl="2" w:tplc="042B001B" w:tentative="1">
      <w:start w:val="1"/>
      <w:numFmt w:val="lowerRoman"/>
      <w:lvlText w:val="%3."/>
      <w:lvlJc w:val="right"/>
      <w:pPr>
        <w:ind w:left="2700" w:hanging="180"/>
      </w:pPr>
    </w:lvl>
    <w:lvl w:ilvl="3" w:tplc="042B000F" w:tentative="1">
      <w:start w:val="1"/>
      <w:numFmt w:val="decimal"/>
      <w:lvlText w:val="%4."/>
      <w:lvlJc w:val="left"/>
      <w:pPr>
        <w:ind w:left="3420" w:hanging="360"/>
      </w:pPr>
    </w:lvl>
    <w:lvl w:ilvl="4" w:tplc="042B0019" w:tentative="1">
      <w:start w:val="1"/>
      <w:numFmt w:val="lowerLetter"/>
      <w:lvlText w:val="%5."/>
      <w:lvlJc w:val="left"/>
      <w:pPr>
        <w:ind w:left="4140" w:hanging="360"/>
      </w:pPr>
    </w:lvl>
    <w:lvl w:ilvl="5" w:tplc="042B001B" w:tentative="1">
      <w:start w:val="1"/>
      <w:numFmt w:val="lowerRoman"/>
      <w:lvlText w:val="%6."/>
      <w:lvlJc w:val="right"/>
      <w:pPr>
        <w:ind w:left="4860" w:hanging="180"/>
      </w:pPr>
    </w:lvl>
    <w:lvl w:ilvl="6" w:tplc="042B000F" w:tentative="1">
      <w:start w:val="1"/>
      <w:numFmt w:val="decimal"/>
      <w:lvlText w:val="%7."/>
      <w:lvlJc w:val="left"/>
      <w:pPr>
        <w:ind w:left="5580" w:hanging="360"/>
      </w:pPr>
    </w:lvl>
    <w:lvl w:ilvl="7" w:tplc="042B0019" w:tentative="1">
      <w:start w:val="1"/>
      <w:numFmt w:val="lowerLetter"/>
      <w:lvlText w:val="%8."/>
      <w:lvlJc w:val="left"/>
      <w:pPr>
        <w:ind w:left="6300" w:hanging="360"/>
      </w:pPr>
    </w:lvl>
    <w:lvl w:ilvl="8" w:tplc="042B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5"/>
    <w:rsid w:val="00005616"/>
    <w:rsid w:val="00097B2C"/>
    <w:rsid w:val="000B2145"/>
    <w:rsid w:val="000C45A9"/>
    <w:rsid w:val="00151817"/>
    <w:rsid w:val="001B4441"/>
    <w:rsid w:val="001B52B1"/>
    <w:rsid w:val="001B6707"/>
    <w:rsid w:val="001F54E6"/>
    <w:rsid w:val="00221336"/>
    <w:rsid w:val="0029198A"/>
    <w:rsid w:val="002D37CA"/>
    <w:rsid w:val="00396C38"/>
    <w:rsid w:val="004F4491"/>
    <w:rsid w:val="005733F6"/>
    <w:rsid w:val="005D081B"/>
    <w:rsid w:val="00641EE4"/>
    <w:rsid w:val="006B12A3"/>
    <w:rsid w:val="00716A01"/>
    <w:rsid w:val="007E5F06"/>
    <w:rsid w:val="00806CED"/>
    <w:rsid w:val="008B3345"/>
    <w:rsid w:val="008C0674"/>
    <w:rsid w:val="008E26FF"/>
    <w:rsid w:val="008E777E"/>
    <w:rsid w:val="00943631"/>
    <w:rsid w:val="009B16D0"/>
    <w:rsid w:val="00A07411"/>
    <w:rsid w:val="00A36362"/>
    <w:rsid w:val="00AC7F2C"/>
    <w:rsid w:val="00AD63AB"/>
    <w:rsid w:val="00B14A74"/>
    <w:rsid w:val="00B24351"/>
    <w:rsid w:val="00B6070D"/>
    <w:rsid w:val="00C45A95"/>
    <w:rsid w:val="00C831CC"/>
    <w:rsid w:val="00CA73C0"/>
    <w:rsid w:val="00CB203F"/>
    <w:rsid w:val="00CE15FF"/>
    <w:rsid w:val="00D16589"/>
    <w:rsid w:val="00D47D15"/>
    <w:rsid w:val="00D50943"/>
    <w:rsid w:val="00D7606E"/>
    <w:rsid w:val="00D95EC6"/>
    <w:rsid w:val="00DB3E0A"/>
    <w:rsid w:val="00DC6960"/>
    <w:rsid w:val="00DE021B"/>
    <w:rsid w:val="00E36409"/>
    <w:rsid w:val="00E55ADF"/>
    <w:rsid w:val="00E84AEE"/>
    <w:rsid w:val="00EE44E5"/>
    <w:rsid w:val="00F17860"/>
    <w:rsid w:val="00F35910"/>
    <w:rsid w:val="00F5636B"/>
    <w:rsid w:val="00FC3F52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F682"/>
  <w15:docId w15:val="{7C0BECE7-6575-4C90-9A44-42E2F4F1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6A01"/>
    <w:rPr>
      <w:b/>
      <w:bCs/>
    </w:rPr>
  </w:style>
  <w:style w:type="paragraph" w:styleId="ListParagraph">
    <w:name w:val="List Paragraph"/>
    <w:basedOn w:val="Normal"/>
    <w:uiPriority w:val="34"/>
    <w:qFormat/>
    <w:rsid w:val="00DB3E0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9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Azgush A. Elazyan</dc:creator>
  <cp:keywords/>
  <dc:description/>
  <cp:lastModifiedBy>Emma A. Movsisyan</cp:lastModifiedBy>
  <cp:revision>32</cp:revision>
  <cp:lastPrinted>2019-10-23T12:33:00Z</cp:lastPrinted>
  <dcterms:created xsi:type="dcterms:W3CDTF">2019-10-09T11:52:00Z</dcterms:created>
  <dcterms:modified xsi:type="dcterms:W3CDTF">2020-06-25T11:46:00Z</dcterms:modified>
</cp:coreProperties>
</file>