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A46" w:rsidRPr="00157A46" w:rsidRDefault="00157A46" w:rsidP="00157A4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af-ZA"/>
        </w:rPr>
      </w:pPr>
      <w:r w:rsidRPr="00157A46">
        <w:rPr>
          <w:rFonts w:ascii="Arial Unicode" w:hAnsi="Arial Unicode"/>
          <w:b/>
          <w:bCs/>
          <w:color w:val="000000"/>
          <w:sz w:val="27"/>
          <w:szCs w:val="27"/>
        </w:rPr>
        <w:t>ՀԱՅԱՍՏԱՆԻ</w:t>
      </w:r>
      <w:r w:rsidRPr="00157A46">
        <w:rPr>
          <w:rFonts w:ascii="Arial Unicode" w:hAnsi="Arial Unicode"/>
          <w:b/>
          <w:bCs/>
          <w:color w:val="000000"/>
          <w:sz w:val="27"/>
          <w:szCs w:val="27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7"/>
          <w:szCs w:val="27"/>
        </w:rPr>
        <w:t>ՀԱՆՐԱՊԵՏՈՒԹՅԱՆ</w:t>
      </w:r>
      <w:r w:rsidRPr="00157A46">
        <w:rPr>
          <w:rFonts w:ascii="Arial Unicode" w:hAnsi="Arial Unicode"/>
          <w:b/>
          <w:bCs/>
          <w:color w:val="000000"/>
          <w:sz w:val="27"/>
          <w:szCs w:val="27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7"/>
          <w:szCs w:val="27"/>
        </w:rPr>
        <w:t>ԿԱՌԱՎԱՐՈՒԹՅՈՒՆ</w:t>
      </w:r>
    </w:p>
    <w:p w:rsidR="00157A46" w:rsidRPr="00157A46" w:rsidRDefault="00157A46" w:rsidP="00157A46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af-ZA"/>
        </w:rPr>
      </w:pPr>
      <w:r w:rsidRPr="00157A46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157A46" w:rsidRPr="00157A46" w:rsidRDefault="00157A46" w:rsidP="00157A46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af-ZA"/>
        </w:rPr>
      </w:pPr>
      <w:r w:rsidRPr="00157A46">
        <w:rPr>
          <w:rFonts w:ascii="Arial Unicode" w:hAnsi="Arial Unicode"/>
          <w:b/>
          <w:bCs/>
          <w:color w:val="000000"/>
          <w:sz w:val="36"/>
          <w:szCs w:val="36"/>
        </w:rPr>
        <w:t>Ո</w:t>
      </w:r>
      <w:r w:rsidRPr="00157A46">
        <w:rPr>
          <w:rFonts w:ascii="Arial Unicode" w:hAnsi="Arial Unicode"/>
          <w:b/>
          <w:bCs/>
          <w:color w:val="000000"/>
          <w:sz w:val="36"/>
          <w:szCs w:val="36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36"/>
          <w:szCs w:val="36"/>
        </w:rPr>
        <w:t>Ր</w:t>
      </w:r>
      <w:r w:rsidRPr="00157A46">
        <w:rPr>
          <w:rFonts w:ascii="Arial Unicode" w:hAnsi="Arial Unicode"/>
          <w:b/>
          <w:bCs/>
          <w:color w:val="000000"/>
          <w:sz w:val="36"/>
          <w:szCs w:val="36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36"/>
          <w:szCs w:val="36"/>
        </w:rPr>
        <w:t>Ո</w:t>
      </w:r>
      <w:r w:rsidRPr="00157A46">
        <w:rPr>
          <w:rFonts w:ascii="Arial Unicode" w:hAnsi="Arial Unicode"/>
          <w:b/>
          <w:bCs/>
          <w:color w:val="000000"/>
          <w:sz w:val="36"/>
          <w:szCs w:val="36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36"/>
          <w:szCs w:val="36"/>
        </w:rPr>
        <w:t>Շ</w:t>
      </w:r>
      <w:r w:rsidRPr="00157A46">
        <w:rPr>
          <w:rFonts w:ascii="Arial Unicode" w:hAnsi="Arial Unicode"/>
          <w:b/>
          <w:bCs/>
          <w:color w:val="000000"/>
          <w:sz w:val="36"/>
          <w:szCs w:val="36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36"/>
          <w:szCs w:val="36"/>
        </w:rPr>
        <w:t>ՈՒ</w:t>
      </w:r>
      <w:r w:rsidRPr="00157A46">
        <w:rPr>
          <w:rFonts w:ascii="Arial Unicode" w:hAnsi="Arial Unicode"/>
          <w:b/>
          <w:bCs/>
          <w:color w:val="000000"/>
          <w:sz w:val="36"/>
          <w:szCs w:val="36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36"/>
          <w:szCs w:val="36"/>
        </w:rPr>
        <w:t>Մ</w:t>
      </w:r>
    </w:p>
    <w:p w:rsidR="00157A46" w:rsidRPr="00157A46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af-ZA"/>
        </w:rPr>
      </w:pPr>
      <w:r w:rsidRPr="00157A46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157A46" w:rsidRPr="00157A46" w:rsidRDefault="00157A46" w:rsidP="00157A46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af-ZA"/>
        </w:rPr>
      </w:pPr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10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մայիսի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2019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թվականի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N 553-</w:t>
      </w:r>
      <w:r w:rsidRPr="00157A46">
        <w:rPr>
          <w:rFonts w:ascii="Arial Unicode" w:hAnsi="Arial Unicode"/>
          <w:color w:val="000000"/>
          <w:sz w:val="21"/>
          <w:szCs w:val="21"/>
        </w:rPr>
        <w:t>Լ</w:t>
      </w:r>
    </w:p>
    <w:p w:rsidR="00157A46" w:rsidRPr="00157A46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af-ZA"/>
        </w:rPr>
      </w:pPr>
      <w:r w:rsidRPr="00157A46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157A46" w:rsidRPr="00157A46" w:rsidRDefault="00157A46" w:rsidP="00157A46">
      <w:pPr>
        <w:shd w:val="clear" w:color="auto" w:fill="FFFFFF"/>
        <w:jc w:val="center"/>
        <w:rPr>
          <w:rFonts w:ascii="Arial Unicode" w:hAnsi="Arial Unicode"/>
          <w:color w:val="000000"/>
          <w:sz w:val="21"/>
          <w:szCs w:val="21"/>
          <w:lang w:val="af-ZA"/>
        </w:rPr>
      </w:pP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ՀԱՅԱՍՏԱՆԻ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ՀԱՆՐԱՊԵՏՈՒԹՅԱՆ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ՀԱՍՑԵՆԵՐԻ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ՄԻԱՍՆԱԿԱՆ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ՌԵԳԻՍՏՐԻ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ԵՎ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ՀԱՍՑԵՆԵՐԻ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ՌԵԵՍՏՐԻ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ԻՆՔՆԱՇԽԱՏ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ՏԵՂԵԿԱՏՎԱԿԱՆ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ՀԱՄԱԿԱՐԳԻ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ՍՏԵՂԾՄԱՆ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ՀԱՅԵՑԱԿԱՐԳԸ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ԵՎ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ՄԻՋՈՑԱՌՈՒՄՆԵՐԻ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ԾՐԱԳԻՐԸ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ՀԱՍՏԱՏԵԼՈՒ</w:t>
      </w:r>
      <w:r w:rsidRPr="00157A46">
        <w:rPr>
          <w:rFonts w:ascii="Arial Unicode" w:hAnsi="Arial Unicode"/>
          <w:b/>
          <w:b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ՄԱՍԻՆ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af-ZA"/>
        </w:rPr>
      </w:pPr>
      <w:r w:rsidRPr="00157A46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af-ZA"/>
        </w:rPr>
      </w:pP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Հայաստանի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Հանրապետության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կառավարությունը</w:t>
      </w:r>
      <w:proofErr w:type="spellEnd"/>
      <w:r w:rsidRPr="00157A46">
        <w:rPr>
          <w:rFonts w:ascii="Calibri" w:hAnsi="Calibri" w:cs="Calibri"/>
          <w:color w:val="000000"/>
          <w:sz w:val="21"/>
          <w:szCs w:val="21"/>
          <w:lang w:val="af-ZA"/>
        </w:rPr>
        <w:t> </w:t>
      </w:r>
      <w:proofErr w:type="spellStart"/>
      <w:r w:rsidRPr="00157A46">
        <w:rPr>
          <w:rFonts w:ascii="Arial Unicode" w:hAnsi="Arial Unicode"/>
          <w:b/>
          <w:bCs/>
          <w:i/>
          <w:iCs/>
          <w:color w:val="000000"/>
          <w:sz w:val="21"/>
          <w:szCs w:val="21"/>
        </w:rPr>
        <w:t>որոշում</w:t>
      </w:r>
      <w:proofErr w:type="spellEnd"/>
      <w:r w:rsidRPr="00157A46">
        <w:rPr>
          <w:rFonts w:ascii="Arial Unicode" w:hAnsi="Arial Unicode"/>
          <w:b/>
          <w:bCs/>
          <w:i/>
          <w:iCs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b/>
          <w:bCs/>
          <w:i/>
          <w:iCs/>
          <w:color w:val="000000"/>
          <w:sz w:val="21"/>
          <w:szCs w:val="21"/>
        </w:rPr>
        <w:t>է</w:t>
      </w:r>
      <w:r w:rsidRPr="00157A46">
        <w:rPr>
          <w:rFonts w:ascii="Arial Unicode" w:hAnsi="Arial Unicode"/>
          <w:b/>
          <w:bCs/>
          <w:i/>
          <w:iCs/>
          <w:color w:val="000000"/>
          <w:sz w:val="21"/>
          <w:szCs w:val="21"/>
          <w:lang w:val="af-ZA"/>
        </w:rPr>
        <w:t>.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af-ZA"/>
        </w:rPr>
      </w:pPr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1.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Հաստատել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՝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af-ZA"/>
        </w:rPr>
      </w:pPr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1)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Հայաստանի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Հանրապետության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միասնական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ռեգիստրի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color w:val="000000"/>
          <w:sz w:val="21"/>
          <w:szCs w:val="21"/>
        </w:rPr>
        <w:t>և</w:t>
      </w:r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ռեեստրի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ինքնաշխատ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տեղեկատվական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համակարգի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ստեղծման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հայեցակարգը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`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համաձայն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N 1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հավելվածի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>.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af-ZA"/>
        </w:rPr>
      </w:pPr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2)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Հայաստանի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Հանրապետության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միասնական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ռեգիստրի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color w:val="000000"/>
          <w:sz w:val="21"/>
          <w:szCs w:val="21"/>
        </w:rPr>
        <w:t>և</w:t>
      </w:r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ռեեստրի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ինքնաշխատ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տեղեկատվական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համակարգի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ստեղծման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միջոցառումների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ծրագիրը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՝</w:t>
      </w:r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համաձայն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N 2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հավելվածի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>: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af-ZA"/>
        </w:rPr>
      </w:pPr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2.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Սույն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որոշումն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ուժի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մեջ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r w:rsidRPr="00157A46">
        <w:rPr>
          <w:rFonts w:ascii="Arial Unicode" w:hAnsi="Arial Unicode"/>
          <w:color w:val="000000"/>
          <w:sz w:val="21"/>
          <w:szCs w:val="21"/>
        </w:rPr>
        <w:t>է</w:t>
      </w:r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մտնում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պաշտոնական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հրապարակման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օրվան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հաջորդող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տասներորդ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օրը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  <w:lang w:val="af-ZA"/>
        </w:rPr>
        <w:t>: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af-ZA"/>
        </w:rPr>
      </w:pPr>
      <w:r w:rsidRPr="00157A46">
        <w:rPr>
          <w:rFonts w:ascii="Calibri" w:hAnsi="Calibri" w:cs="Calibri"/>
          <w:color w:val="000000"/>
          <w:sz w:val="21"/>
          <w:szCs w:val="21"/>
          <w:lang w:val="af-ZA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84"/>
      </w:tblGrid>
      <w:tr w:rsidR="00157A46" w:rsidRPr="00157A46" w:rsidTr="00157A4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157A46" w:rsidRPr="00157A46" w:rsidRDefault="00157A46" w:rsidP="00157A46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 w:rsidRPr="00157A46"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Հայաստանի</w:t>
            </w:r>
            <w:proofErr w:type="spellEnd"/>
            <w:r w:rsidRPr="00157A46"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157A46"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Հանրապետության</w:t>
            </w:r>
            <w:proofErr w:type="spellEnd"/>
            <w:r w:rsidRPr="00157A46"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br/>
            </w:r>
            <w:proofErr w:type="spellStart"/>
            <w:r w:rsidRPr="00157A46"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փոխվարչապետ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57A46" w:rsidRPr="00157A46" w:rsidRDefault="00157A46" w:rsidP="00157A46">
            <w:pPr>
              <w:jc w:val="right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157A46"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 xml:space="preserve">Տ. </w:t>
            </w:r>
            <w:proofErr w:type="spellStart"/>
            <w:r w:rsidRPr="00157A46"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Ավինյան</w:t>
            </w:r>
            <w:proofErr w:type="spellEnd"/>
          </w:p>
        </w:tc>
      </w:tr>
      <w:tr w:rsidR="00157A46" w:rsidRPr="00157A46" w:rsidTr="00157A4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157A46" w:rsidRPr="00157A46" w:rsidRDefault="00157A46" w:rsidP="00157A46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157A46">
              <w:rPr>
                <w:rFonts w:ascii="Arial Unicode" w:hAnsi="Arial Unicode"/>
                <w:color w:val="000000"/>
                <w:sz w:val="21"/>
                <w:szCs w:val="21"/>
              </w:rPr>
              <w:br/>
              <w:t xml:space="preserve">2019 թ. </w:t>
            </w:r>
            <w:proofErr w:type="spellStart"/>
            <w:r w:rsidRPr="00157A46">
              <w:rPr>
                <w:rFonts w:ascii="Arial Unicode" w:hAnsi="Arial Unicode"/>
                <w:color w:val="000000"/>
                <w:sz w:val="21"/>
                <w:szCs w:val="21"/>
              </w:rPr>
              <w:t>մայիսի</w:t>
            </w:r>
            <w:proofErr w:type="spellEnd"/>
            <w:r w:rsidRPr="00157A46">
              <w:rPr>
                <w:rFonts w:ascii="Arial Unicode" w:hAnsi="Arial Unicode"/>
                <w:color w:val="000000"/>
                <w:sz w:val="21"/>
                <w:szCs w:val="21"/>
              </w:rPr>
              <w:t xml:space="preserve"> 16</w:t>
            </w:r>
            <w:r w:rsidRPr="00157A46">
              <w:rPr>
                <w:rFonts w:ascii="Arial Unicode" w:hAnsi="Arial Unicode"/>
                <w:color w:val="000000"/>
                <w:sz w:val="21"/>
                <w:szCs w:val="21"/>
              </w:rPr>
              <w:br/>
            </w:r>
            <w:proofErr w:type="spellStart"/>
            <w:r w:rsidRPr="00157A46">
              <w:rPr>
                <w:rFonts w:ascii="Arial Unicode" w:hAnsi="Arial Unicode"/>
                <w:color w:val="000000"/>
                <w:sz w:val="21"/>
                <w:szCs w:val="21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57A46" w:rsidRPr="00157A46" w:rsidRDefault="00157A46" w:rsidP="00157A46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</w:p>
        </w:tc>
      </w:tr>
    </w:tbl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Calibri" w:hAnsi="Calibri" w:cs="Calibri"/>
          <w:color w:val="000000"/>
          <w:sz w:val="21"/>
          <w:szCs w:val="21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4"/>
        <w:gridCol w:w="4521"/>
      </w:tblGrid>
      <w:tr w:rsidR="00157A46" w:rsidRPr="00157A46" w:rsidTr="00157A4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57A46" w:rsidRPr="00157A46" w:rsidRDefault="00157A46" w:rsidP="00157A46">
            <w:pPr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157A46">
              <w:rPr>
                <w:rFonts w:ascii="Calibri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157A46" w:rsidRPr="00157A46" w:rsidRDefault="00157A46" w:rsidP="00157A46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 w:rsidRPr="00157A46">
              <w:rPr>
                <w:rFonts w:ascii="Arial Unicode" w:hAnsi="Arial Unicode"/>
                <w:b/>
                <w:bCs/>
                <w:color w:val="000000"/>
                <w:sz w:val="15"/>
                <w:szCs w:val="15"/>
              </w:rPr>
              <w:t>Հավելված</w:t>
            </w:r>
            <w:proofErr w:type="spellEnd"/>
            <w:r w:rsidRPr="00157A46">
              <w:rPr>
                <w:rFonts w:ascii="Arial Unicode" w:hAnsi="Arial Unicode"/>
                <w:b/>
                <w:bCs/>
                <w:color w:val="000000"/>
                <w:sz w:val="15"/>
                <w:szCs w:val="15"/>
              </w:rPr>
              <w:t xml:space="preserve"> N 1</w:t>
            </w:r>
          </w:p>
          <w:p w:rsidR="00157A46" w:rsidRPr="00157A46" w:rsidRDefault="00157A46" w:rsidP="00157A46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 w:rsidRPr="00157A4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 </w:t>
            </w:r>
            <w:r w:rsidRPr="00157A46">
              <w:rPr>
                <w:rFonts w:ascii="Arial Unicode" w:hAnsi="Arial Unicode" w:cs="Arial Unicode"/>
                <w:b/>
                <w:bCs/>
                <w:color w:val="000000"/>
                <w:sz w:val="15"/>
                <w:szCs w:val="15"/>
              </w:rPr>
              <w:t>ՀՀ</w:t>
            </w:r>
            <w:r w:rsidRPr="00157A4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 </w:t>
            </w:r>
            <w:proofErr w:type="spellStart"/>
            <w:r w:rsidRPr="00157A46">
              <w:rPr>
                <w:rFonts w:ascii="Arial Unicode" w:hAnsi="Arial Unicode"/>
                <w:b/>
                <w:bCs/>
                <w:color w:val="FFFFFF"/>
                <w:sz w:val="15"/>
                <w:szCs w:val="15"/>
                <w:shd w:val="clear" w:color="auto" w:fill="0A246A"/>
              </w:rPr>
              <w:t>կառավարության</w:t>
            </w:r>
            <w:proofErr w:type="spellEnd"/>
            <w:r w:rsidRPr="00157A46">
              <w:rPr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 </w:t>
            </w:r>
            <w:r w:rsidRPr="00157A46">
              <w:rPr>
                <w:rFonts w:ascii="Arial Unicode" w:hAnsi="Arial Unicode"/>
                <w:b/>
                <w:bCs/>
                <w:color w:val="000000"/>
                <w:sz w:val="15"/>
                <w:szCs w:val="15"/>
              </w:rPr>
              <w:t xml:space="preserve">2019 </w:t>
            </w:r>
            <w:proofErr w:type="spellStart"/>
            <w:r w:rsidRPr="00157A46">
              <w:rPr>
                <w:rFonts w:ascii="Arial Unicode" w:hAnsi="Arial Unicode" w:cs="Arial Unicode"/>
                <w:b/>
                <w:bCs/>
                <w:color w:val="000000"/>
                <w:sz w:val="15"/>
                <w:szCs w:val="15"/>
              </w:rPr>
              <w:t>թվականի</w:t>
            </w:r>
            <w:proofErr w:type="spellEnd"/>
          </w:p>
          <w:p w:rsidR="00157A46" w:rsidRPr="00157A46" w:rsidRDefault="00157A46" w:rsidP="00157A46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proofErr w:type="spellStart"/>
            <w:r w:rsidRPr="00157A46">
              <w:rPr>
                <w:rFonts w:ascii="Arial Unicode" w:hAnsi="Arial Unicode"/>
                <w:b/>
                <w:bCs/>
                <w:color w:val="000000"/>
                <w:sz w:val="15"/>
                <w:szCs w:val="15"/>
              </w:rPr>
              <w:t>մայիսի</w:t>
            </w:r>
            <w:proofErr w:type="spellEnd"/>
            <w:r w:rsidRPr="00157A46">
              <w:rPr>
                <w:rFonts w:ascii="Arial Unicode" w:hAnsi="Arial Unicode"/>
                <w:b/>
                <w:bCs/>
                <w:color w:val="000000"/>
                <w:sz w:val="15"/>
                <w:szCs w:val="15"/>
              </w:rPr>
              <w:t xml:space="preserve"> 10-ի N 553-Լ </w:t>
            </w:r>
            <w:proofErr w:type="spellStart"/>
            <w:r w:rsidRPr="00157A46">
              <w:rPr>
                <w:rFonts w:ascii="Arial Unicode" w:hAnsi="Arial Unicode"/>
                <w:b/>
                <w:bCs/>
                <w:color w:val="000000"/>
                <w:sz w:val="15"/>
                <w:szCs w:val="15"/>
              </w:rPr>
              <w:t>որոշման</w:t>
            </w:r>
            <w:proofErr w:type="spellEnd"/>
          </w:p>
        </w:tc>
      </w:tr>
    </w:tbl>
    <w:p w:rsidR="00157A46" w:rsidRPr="00157A46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Calibri" w:hAnsi="Calibri" w:cs="Calibri"/>
          <w:color w:val="000000"/>
          <w:sz w:val="21"/>
          <w:szCs w:val="21"/>
        </w:rPr>
        <w:t> </w:t>
      </w:r>
    </w:p>
    <w:p w:rsidR="00157A46" w:rsidRPr="00157A46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b/>
          <w:bCs/>
          <w:caps/>
          <w:color w:val="000000"/>
          <w:sz w:val="21"/>
          <w:szCs w:val="21"/>
        </w:rPr>
        <w:t>Հ Ա Յ Ե Ց Ա Կ Ա Ր Գ</w:t>
      </w:r>
    </w:p>
    <w:p w:rsidR="00157A46" w:rsidRPr="00157A46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Calibri" w:hAnsi="Calibri" w:cs="Calibri"/>
          <w:color w:val="000000"/>
          <w:sz w:val="21"/>
          <w:szCs w:val="21"/>
        </w:rPr>
        <w:t> </w:t>
      </w:r>
    </w:p>
    <w:p w:rsidR="00157A46" w:rsidRPr="00157A46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b/>
          <w:bCs/>
          <w:caps/>
          <w:color w:val="000000"/>
          <w:sz w:val="21"/>
          <w:szCs w:val="21"/>
        </w:rPr>
        <w:t>ՀԱՅԱՍՏԱՆԻ ՀԱՆՐԱՊԵՏՈՒԹՅԱՆ ՀԱՍՑԵՆԵՐԻ ՄԻԱՍՆԱԿԱՆ ՌԵԳԻՍՏՐԻ ԵՎ ՀԱՍՑԵՆԵՐԻ ՌԵԵՍՏՐԻ ԻՆՔՆԱՇԽԱՏ ՏԵՂԵԿԱՏՎԱԿԱՆ ՀԱՄԱԿԱՐԳԻ ՍՏԵՂԾՄԱՆ</w:t>
      </w:r>
    </w:p>
    <w:p w:rsidR="00157A46" w:rsidRPr="00157A46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Calibri" w:hAnsi="Calibri" w:cs="Calibri"/>
          <w:color w:val="000000"/>
          <w:sz w:val="21"/>
          <w:szCs w:val="21"/>
        </w:rPr>
        <w:t> </w:t>
      </w:r>
    </w:p>
    <w:p w:rsidR="00157A46" w:rsidRPr="00157A46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b/>
          <w:bCs/>
          <w:color w:val="000000"/>
          <w:sz w:val="21"/>
          <w:szCs w:val="21"/>
        </w:rPr>
        <w:t>1. ՄՇԱԿՈՂ ՄԱՐՄԻՆԸ</w:t>
      </w:r>
    </w:p>
    <w:p w:rsidR="00157A46" w:rsidRPr="00157A46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Calibri" w:hAnsi="Calibri" w:cs="Calibri"/>
          <w:color w:val="000000"/>
          <w:sz w:val="21"/>
          <w:szCs w:val="21"/>
        </w:rPr>
        <w:t> 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1.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Հայաստանի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Հանրապետության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միասնական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ռեգիստրի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ռեեստրի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ինքնաշխատ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տեղեկատվական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համակարգի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ստեղծման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hայեցակարգը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(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այսուհետ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՝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հայեցակարգ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մշակվել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է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Հայաստանի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Հանրապետության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անշարժ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գույքի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կադաստրի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կոմիտեի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կողմից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(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այսուհետ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՝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Կադաստրի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կոմիտե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):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Calibri" w:hAnsi="Calibri" w:cs="Calibri"/>
          <w:color w:val="000000"/>
          <w:sz w:val="21"/>
          <w:szCs w:val="21"/>
        </w:rPr>
        <w:t> </w:t>
      </w:r>
    </w:p>
    <w:p w:rsidR="00157A46" w:rsidRPr="00157A46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b/>
          <w:bCs/>
          <w:caps/>
          <w:color w:val="000000"/>
          <w:sz w:val="21"/>
          <w:szCs w:val="21"/>
        </w:rPr>
        <w:t>2. ՆԱԽԱԲԱՆ</w:t>
      </w:r>
    </w:p>
    <w:p w:rsidR="00157A46" w:rsidRPr="00157A46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Calibri" w:hAnsi="Calibri" w:cs="Calibri"/>
          <w:color w:val="000000"/>
          <w:sz w:val="21"/>
          <w:szCs w:val="21"/>
        </w:rPr>
        <w:t> 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2.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Հայեցակարգում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նախանշվում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են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՝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1)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Հայաստանի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Հանրապետության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միասնական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ռեգիստրի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ռեեստրի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ինքնաշխատ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(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ավտոմատացված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տեղեկատվական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համակարգի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(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այսուհետ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`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համակարգ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ստեղծման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ձևավորման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մեկնարկային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ուղղությունները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ռազմավարությունը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.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2)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ներբնակավայրային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աշխարհագրական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օբյեկտների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անվանակոչման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անվանափոխման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անշարժ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գույքի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հասցեավորման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ինչպես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նաև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պետական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գրանցման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ոլորտում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իրականացվելիք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բարեփոխումները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.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3)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ոլորտում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առկա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խնդիրները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դրանց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լուծման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ուղղությունները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քաղաքականության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մշակման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հիմնավորվածությունը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անհրաժեշտությունը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: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lastRenderedPageBreak/>
        <w:t xml:space="preserve">3.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Հայեցակարգի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մշակումը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նպատակաուղղված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է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ոլորտի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պետական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քաղաքականության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հայեցակարգային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վերանայմանը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ժամանակակից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պահանջներին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համահունչ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դարձնելուն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:</w:t>
      </w:r>
    </w:p>
    <w:p w:rsidR="00157A46" w:rsidRPr="00157A46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Calibri" w:hAnsi="Calibri" w:cs="Calibri"/>
          <w:color w:val="000000"/>
          <w:sz w:val="21"/>
          <w:szCs w:val="21"/>
        </w:rPr>
        <w:t> </w:t>
      </w:r>
    </w:p>
    <w:p w:rsidR="00157A46" w:rsidRPr="00157A46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b/>
          <w:bCs/>
          <w:caps/>
          <w:color w:val="000000"/>
          <w:sz w:val="21"/>
          <w:szCs w:val="21"/>
        </w:rPr>
        <w:t>3. ՈԼՈՐՏԻ ՆԵՐԿԱ ՎԻՃԱԿԸ, ԱՌԿԱ ԽՆԴԻՐՆԵՐԸ ԵՎ ԱՌԱՋԱՐԿՎՈՂ ԼՈՒԾՈՒՄՆԵՐԸ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Calibri" w:hAnsi="Calibri" w:cs="Calibri"/>
          <w:color w:val="000000"/>
          <w:sz w:val="21"/>
          <w:szCs w:val="21"/>
        </w:rPr>
        <w:t> 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4.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Ներկա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օրենսդրական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կարգավորումներով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ներբնակավայրային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աշխարհագրական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օբյեկտների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հասցեավորման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գործընթացը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ներառում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է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քանի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գործառույթ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`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1)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ներբնակավայրային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աշխարհագրական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օբյեկտների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անվանակոչման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անվանափոխման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մասին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որոշումների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ընդունում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անշարժ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գույքի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հասցեավորում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(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համայնքի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ղեկավար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ավագանի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մարզպետ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).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2)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անշարժ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գույքի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գրանցում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(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լիազոր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մարմին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՝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Կադաստրի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կոմիտե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).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3)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անշարժ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գույքի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ռեեստրի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(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վերաբերյալ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տեքստային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փաստաթղթային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գրաֆիկական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տվյալների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մեկ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միասնական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համակարգված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ցանկ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վարում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(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լիազոր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մարմին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՝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Կադաստրի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կոմիտե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).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4)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Հայաստանի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Հանրապետության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աշխարհագրական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անվանումների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հաշվառում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(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լիազոր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մարմին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՝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Կադաստրի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proofErr w:type="gramStart"/>
      <w:r w:rsidRPr="00157A46">
        <w:rPr>
          <w:rFonts w:ascii="Arial Unicode" w:hAnsi="Arial Unicode"/>
          <w:color w:val="000000"/>
          <w:sz w:val="21"/>
          <w:szCs w:val="21"/>
        </w:rPr>
        <w:t>կոմիտե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)։</w:t>
      </w:r>
      <w:proofErr w:type="gramEnd"/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5.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Ոլորտի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գործառույթները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բաժանված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են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պետական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տեղական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ինքնակառավարման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մարմինների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միջև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ոլորտում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առաջանում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են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տեղական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ինքնակառավարման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մարմինների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(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համայնքների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)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պետական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մարմնի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միջև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տվյալների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փոխանակմանն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առնչվող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շարք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խնդիրներ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ինչի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արդյունքում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ռեեստրը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պարունակում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է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որոշ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դեպքերում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սխալ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թերի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տեղեկատվություն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որն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էլ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տրամադրվում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է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շահագրգիռ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պետական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մարմիններին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ֆիզիկական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իրավաբանական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անձանց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: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Գործառույթների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բաժանված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լինելու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պարագայում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ունենք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հետևյալ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խնդիրները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`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1)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գրանցում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իրականացնող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ռեեստր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վարող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լիազոր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մարմինը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՝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Կադաստրի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կոմիտեն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ըստ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էության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լիարժեք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չի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իրականացնում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նշված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գործառույթները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քանի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բազմաթիվ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համայնքներում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անշարժ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գույքի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առաջին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հասցեավորմանը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հաջորդող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ժամանակաշրջանում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կատարված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փոփոխությունները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չեն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ընդգրկվել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ռեեստրում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կադաստրային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քարտեզներում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: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Այժմ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էլ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շատ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են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դեպքերը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երբ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համայնքներում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հասցեավորում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իրականացնող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լիազոր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մարմինների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կողմից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կատարված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անվանակոչումները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նոր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հասցեավորումներն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ու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համարակալումները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սահմանված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կարգով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չեն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ներկայացվում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պետական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գրանցման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չեն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ներառվում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ռեեստրում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հանգեցնում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է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անհամապատասխանությունների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բազմաթիվ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անճշտությունների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՝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դառնալով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գրանցումների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կասեցման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մերժման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պատճառ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.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2)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անվանակոչման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լիազոր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մարմինների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կողմից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անշարժ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գույքին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տրամադրելու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մասին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որոշումները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չեն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համապատասխանում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Հայաստանի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Հանրապետության</w:t>
      </w:r>
      <w:proofErr w:type="spellEnd"/>
      <w:r w:rsidRPr="00157A46">
        <w:rPr>
          <w:rFonts w:ascii="Calibri" w:hAnsi="Calibri" w:cs="Calibri"/>
          <w:color w:val="000000"/>
          <w:sz w:val="21"/>
          <w:szCs w:val="21"/>
        </w:rPr>
        <w:t> </w:t>
      </w:r>
      <w:proofErr w:type="spellStart"/>
      <w:r w:rsidRPr="00157A46">
        <w:rPr>
          <w:rFonts w:ascii="Arial Unicode" w:hAnsi="Arial Unicode"/>
          <w:color w:val="FFFFFF"/>
          <w:sz w:val="21"/>
          <w:szCs w:val="21"/>
          <w:shd w:val="clear" w:color="auto" w:fill="0A246A"/>
        </w:rPr>
        <w:t>կառավարության</w:t>
      </w:r>
      <w:proofErr w:type="spellEnd"/>
      <w:r w:rsidRPr="00157A46">
        <w:rPr>
          <w:rFonts w:ascii="Calibri" w:hAnsi="Calibri" w:cs="Calibri"/>
          <w:color w:val="000000"/>
          <w:sz w:val="21"/>
          <w:szCs w:val="21"/>
        </w:rPr>
        <w:t> </w:t>
      </w:r>
      <w:r w:rsidRPr="00157A46">
        <w:rPr>
          <w:rFonts w:ascii="Arial Unicode" w:hAnsi="Arial Unicode"/>
          <w:color w:val="000000"/>
          <w:sz w:val="21"/>
          <w:szCs w:val="21"/>
        </w:rPr>
        <w:t xml:space="preserve">2005 </w:t>
      </w:r>
      <w:proofErr w:type="spellStart"/>
      <w:r w:rsidRPr="00157A46">
        <w:rPr>
          <w:rFonts w:ascii="Arial Unicode" w:hAnsi="Arial Unicode" w:cs="Arial Unicode"/>
          <w:color w:val="000000"/>
          <w:sz w:val="21"/>
          <w:szCs w:val="21"/>
        </w:rPr>
        <w:t>թվականի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 w:cs="Arial Unicode"/>
          <w:color w:val="000000"/>
          <w:sz w:val="21"/>
          <w:szCs w:val="21"/>
        </w:rPr>
        <w:t>դեկտեմբերի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29-</w:t>
      </w:r>
      <w:r w:rsidRPr="00157A46">
        <w:rPr>
          <w:rFonts w:ascii="Arial Unicode" w:hAnsi="Arial Unicode" w:cs="Arial Unicode"/>
          <w:color w:val="000000"/>
          <w:sz w:val="21"/>
          <w:szCs w:val="21"/>
        </w:rPr>
        <w:t>ի</w:t>
      </w:r>
      <w:r w:rsidRPr="00157A46">
        <w:rPr>
          <w:rFonts w:ascii="Arial Unicode" w:hAnsi="Arial Unicode"/>
          <w:color w:val="000000"/>
          <w:sz w:val="21"/>
          <w:szCs w:val="21"/>
        </w:rPr>
        <w:t xml:space="preserve"> N 2387-</w:t>
      </w:r>
      <w:r w:rsidRPr="00157A46">
        <w:rPr>
          <w:rFonts w:ascii="Arial Unicode" w:hAnsi="Arial Unicode" w:cs="Arial Unicode"/>
          <w:color w:val="000000"/>
          <w:sz w:val="21"/>
          <w:szCs w:val="21"/>
        </w:rPr>
        <w:t>Ն</w:t>
      </w:r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 w:cs="Arial Unicode"/>
          <w:color w:val="000000"/>
          <w:sz w:val="21"/>
          <w:szCs w:val="21"/>
        </w:rPr>
        <w:t>որոշման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 w:cs="Arial Unicode"/>
          <w:color w:val="000000"/>
          <w:sz w:val="21"/>
          <w:szCs w:val="21"/>
        </w:rPr>
        <w:t>պահանջներին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 w:cs="Arial Unicode"/>
          <w:color w:val="000000"/>
          <w:sz w:val="21"/>
          <w:szCs w:val="21"/>
        </w:rPr>
        <w:t>որի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 w:cs="Arial Unicode"/>
          <w:color w:val="000000"/>
          <w:sz w:val="21"/>
          <w:szCs w:val="21"/>
        </w:rPr>
        <w:t>արդյունքում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 w:cs="Arial Unicode"/>
          <w:color w:val="000000"/>
          <w:sz w:val="21"/>
          <w:szCs w:val="21"/>
        </w:rPr>
        <w:t>անշարժ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 w:cs="Arial Unicode"/>
          <w:color w:val="000000"/>
          <w:sz w:val="21"/>
          <w:szCs w:val="21"/>
        </w:rPr>
        <w:t>գույքի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 w:cs="Arial Unicode"/>
          <w:color w:val="000000"/>
          <w:sz w:val="21"/>
          <w:szCs w:val="21"/>
        </w:rPr>
        <w:t>նկատմամբ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 w:cs="Arial Unicode"/>
          <w:color w:val="000000"/>
          <w:sz w:val="21"/>
          <w:szCs w:val="21"/>
        </w:rPr>
        <w:t>հասցեի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 w:cs="Arial Unicode"/>
          <w:color w:val="000000"/>
          <w:sz w:val="21"/>
          <w:szCs w:val="21"/>
        </w:rPr>
        <w:t>պետական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 w:cs="Arial Unicode"/>
          <w:color w:val="000000"/>
          <w:sz w:val="21"/>
          <w:szCs w:val="21"/>
        </w:rPr>
        <w:t>գր</w:t>
      </w:r>
      <w:r w:rsidRPr="00157A46">
        <w:rPr>
          <w:rFonts w:ascii="Arial Unicode" w:hAnsi="Arial Unicode"/>
          <w:color w:val="000000"/>
          <w:sz w:val="21"/>
          <w:szCs w:val="21"/>
        </w:rPr>
        <w:t>անցումը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կասեցվում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է.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3)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նոր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առաջացած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անշարժ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գույքի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անշարժ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գույքի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բաժանման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միավորման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պետական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գրանցման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սեփականության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սուբյեկտը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նախ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դիմում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է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տեղական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ինքնակառավարման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մարմին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՝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նոր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փոստային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ստանալու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(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տվյալ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գործընթացը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քաղաքային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համայնքներում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մասնավորապես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`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Երևանում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տևում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է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միջինը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3-6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օր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(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գանձվում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է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համապատասխան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գումար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),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որից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հետո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այն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ներկայացվում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է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պետական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գրանցման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իսկ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հասցեի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գրանցման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խոչընդոտ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լինելու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դեպքում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սեփականատերը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նույն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գործողությունը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նորից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է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կատարում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,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ինչը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նրանից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խլում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է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հավելյալ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ժամանակ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ֆինանսական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միջոցներ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:</w:t>
      </w:r>
    </w:p>
    <w:p w:rsid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6.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Հաշվի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առնելով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առկա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խնդիրները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և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ոլորտի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ներկա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վիճակը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`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առաջարկվում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են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հայեցակարգային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հետևյալ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 xml:space="preserve"> </w:t>
      </w:r>
      <w:proofErr w:type="spellStart"/>
      <w:r w:rsidRPr="00157A46">
        <w:rPr>
          <w:rFonts w:ascii="Arial Unicode" w:hAnsi="Arial Unicode"/>
          <w:color w:val="000000"/>
          <w:sz w:val="21"/>
          <w:szCs w:val="21"/>
        </w:rPr>
        <w:t>լուծումները</w:t>
      </w:r>
      <w:proofErr w:type="spellEnd"/>
      <w:r w:rsidRPr="00157A46">
        <w:rPr>
          <w:rFonts w:ascii="Arial Unicode" w:hAnsi="Arial Unicode"/>
          <w:color w:val="000000"/>
          <w:sz w:val="21"/>
          <w:szCs w:val="21"/>
        </w:rPr>
        <w:t>՝</w:t>
      </w:r>
    </w:p>
    <w:p w:rsidR="00157A46" w:rsidRDefault="00157A46" w:rsidP="001578FA">
      <w:pPr>
        <w:shd w:val="clear" w:color="auto" w:fill="FFFFFF"/>
        <w:ind w:firstLine="375"/>
        <w:jc w:val="both"/>
        <w:rPr>
          <w:rFonts w:ascii="Arial Unicode" w:hAnsi="Arial Unicode"/>
          <w:strike/>
          <w:color w:val="000000"/>
          <w:sz w:val="21"/>
          <w:szCs w:val="21"/>
        </w:rPr>
      </w:pPr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1)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նկատի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ունենալով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,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որ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Կադաստրի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կոմիտեն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Հայաստանի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Հանրապետության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աշխարհագրական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անվանումների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հաշվառումը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,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անշարժ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գույքի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հասցեների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գրանցումը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և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ռեեստրի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վարումն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իրականացնող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լիազոր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մարմին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է,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նպատակահարմար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է,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որ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ներբնակավայրային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աշխարհագրական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օբյեկտների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համարակալումը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(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հասցեավորումը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)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նույնպես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իրականացվի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Կադաստրի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կոմիտեի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կողմից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: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Այդ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պարագայում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անշարժ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գույքի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սեփականության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սուբյեկտները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(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ֆիզիկական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և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իրավաբանական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անձինք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)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այլևս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ստիպված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չեն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լինի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նոր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առաջացած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գույքի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կամ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առկա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գույքի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բաժանման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և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միավորման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դեպքերում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հասցե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ստանալու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համար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դիմել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տեղական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ինքնակառավարման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մարմին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: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Նոր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հասցեի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տրամադրումը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կկատարվի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գույքի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գրանցման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գործընթացի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շրջանակում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.</w:t>
      </w:r>
    </w:p>
    <w:p w:rsidR="001578FA" w:rsidRPr="001578FA" w:rsidRDefault="001578FA" w:rsidP="001578FA">
      <w:pPr>
        <w:shd w:val="clear" w:color="auto" w:fill="FFFFFF"/>
        <w:ind w:firstLine="375"/>
        <w:jc w:val="both"/>
        <w:rPr>
          <w:rFonts w:ascii="GHEA Mariam" w:hAnsi="GHEA Mariam"/>
          <w:color w:val="FF0000"/>
        </w:rPr>
      </w:pPr>
      <w:r w:rsidRPr="001578FA">
        <w:rPr>
          <w:rFonts w:ascii="GHEA Mariam" w:hAnsi="GHEA Mariam"/>
          <w:color w:val="FF0000"/>
        </w:rPr>
        <w:lastRenderedPageBreak/>
        <w:t xml:space="preserve">1) </w:t>
      </w:r>
      <w:proofErr w:type="spellStart"/>
      <w:r w:rsidRPr="001578FA">
        <w:rPr>
          <w:rFonts w:ascii="GHEA Mariam" w:hAnsi="GHEA Mariam"/>
          <w:color w:val="FF0000"/>
        </w:rPr>
        <w:t>Կադաստրի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կոմիտեի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պաշտոնական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կայքում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կստեղծվի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հասցեների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ռեեստրի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ինքնաշխատ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տեղեկատվական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համակարգ</w:t>
      </w:r>
      <w:proofErr w:type="spellEnd"/>
      <w:r w:rsidRPr="001578FA">
        <w:rPr>
          <w:rFonts w:ascii="GHEA Mariam" w:hAnsi="GHEA Mariam"/>
          <w:color w:val="FF0000"/>
        </w:rPr>
        <w:t xml:space="preserve">, </w:t>
      </w:r>
      <w:proofErr w:type="spellStart"/>
      <w:r w:rsidRPr="001578FA">
        <w:rPr>
          <w:rFonts w:ascii="GHEA Mariam" w:hAnsi="GHEA Mariam"/>
          <w:color w:val="FF0000"/>
        </w:rPr>
        <w:t>որը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հասանելի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կլինի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շահագրգիռ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մարմիններին</w:t>
      </w:r>
      <w:proofErr w:type="spellEnd"/>
      <w:r w:rsidRPr="001578FA">
        <w:rPr>
          <w:rFonts w:ascii="GHEA Mariam" w:hAnsi="GHEA Mariam"/>
          <w:color w:val="FF0000"/>
        </w:rPr>
        <w:t>։</w:t>
      </w:r>
    </w:p>
    <w:p w:rsidR="001578FA" w:rsidRDefault="00157A46" w:rsidP="001578FA">
      <w:pPr>
        <w:shd w:val="clear" w:color="auto" w:fill="FFFFFF"/>
        <w:ind w:firstLine="375"/>
        <w:jc w:val="both"/>
        <w:rPr>
          <w:rFonts w:ascii="Arial Unicode" w:hAnsi="Arial Unicode"/>
          <w:strike/>
          <w:color w:val="000000"/>
          <w:sz w:val="21"/>
          <w:szCs w:val="21"/>
        </w:rPr>
      </w:pPr>
      <w:r w:rsidRPr="00157A46">
        <w:rPr>
          <w:rFonts w:ascii="Arial Unicode" w:hAnsi="Arial Unicode"/>
          <w:color w:val="000000"/>
          <w:sz w:val="21"/>
          <w:szCs w:val="21"/>
        </w:rPr>
        <w:t xml:space="preserve">2)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կստեղծվի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հասցեների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ռեեստրի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ինքնաշխատ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տեղեկատվական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համակարգ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,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որը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հասանելի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կլինի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շահագրգիռ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մարմիններին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: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Ռեեստրում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ներառված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տեղեկատվությունն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առցանց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տարբերակով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կթարմացվի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,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իսկ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տեղական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ինքնակառավարման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մարմինները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հնարավորություն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կստանան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մուտք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գործելու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համակարգ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,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ներկայացնելու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անշարժ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գույքի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հասցեավորման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կամ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համարակալման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հայտ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,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որը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Հայաստանի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Հանրապետության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օրենսդրությանը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համապատասխանելու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դեպքում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ինքնաշխատ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ձևով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կբավարարվի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,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հակառակ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դեպքում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՝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կմերժվի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: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Հասցեների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ռեեստրում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անշարժ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գույքի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հասցեի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անվանափոխման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,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համարակալման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ցանկացած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փոփոխություն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անմիջապես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կարտացոլվի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համակարգում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և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հասանելի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կլինի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օգտվողների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 xml:space="preserve"> </w:t>
      </w:r>
      <w:proofErr w:type="spellStart"/>
      <w:r w:rsidRPr="00157A46">
        <w:rPr>
          <w:rFonts w:ascii="Arial Unicode" w:hAnsi="Arial Unicode"/>
          <w:strike/>
          <w:color w:val="000000"/>
          <w:sz w:val="21"/>
          <w:szCs w:val="21"/>
          <w:highlight w:val="red"/>
        </w:rPr>
        <w:t>համար</w:t>
      </w:r>
      <w:proofErr w:type="spellEnd"/>
      <w:r w:rsidRPr="00157A46">
        <w:rPr>
          <w:rFonts w:ascii="Arial Unicode" w:hAnsi="Arial Unicode"/>
          <w:strike/>
          <w:color w:val="000000"/>
          <w:sz w:val="21"/>
          <w:szCs w:val="21"/>
        </w:rPr>
        <w:t>.</w:t>
      </w:r>
    </w:p>
    <w:p w:rsidR="001578FA" w:rsidRPr="001578FA" w:rsidRDefault="001578FA" w:rsidP="001578FA">
      <w:pPr>
        <w:shd w:val="clear" w:color="auto" w:fill="FFFFFF"/>
        <w:ind w:firstLine="375"/>
        <w:jc w:val="both"/>
        <w:rPr>
          <w:rFonts w:ascii="GHEA Mariam" w:hAnsi="GHEA Mariam"/>
          <w:color w:val="FF0000"/>
        </w:rPr>
      </w:pPr>
      <w:r w:rsidRPr="001578FA">
        <w:rPr>
          <w:rFonts w:ascii="GHEA Mariam" w:hAnsi="GHEA Mariam"/>
          <w:color w:val="FF0000"/>
        </w:rPr>
        <w:t xml:space="preserve">2) </w:t>
      </w:r>
      <w:proofErr w:type="spellStart"/>
      <w:r w:rsidRPr="001578FA">
        <w:rPr>
          <w:rFonts w:ascii="GHEA Mariam" w:hAnsi="GHEA Mariam"/>
          <w:color w:val="FF0000"/>
        </w:rPr>
        <w:t>Համակարգի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գործադրմամբ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տեղական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ինքնակառավարման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մարմիններն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հնարավորություն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կստանան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մուտք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գործելու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համակարգ</w:t>
      </w:r>
      <w:proofErr w:type="spellEnd"/>
      <w:r w:rsidRPr="001578FA">
        <w:rPr>
          <w:rFonts w:ascii="GHEA Mariam" w:hAnsi="GHEA Mariam"/>
          <w:color w:val="FF0000"/>
        </w:rPr>
        <w:t xml:space="preserve">, </w:t>
      </w:r>
      <w:proofErr w:type="spellStart"/>
      <w:r w:rsidRPr="001578FA">
        <w:rPr>
          <w:rFonts w:ascii="GHEA Mariam" w:hAnsi="GHEA Mariam"/>
          <w:color w:val="FF0000"/>
        </w:rPr>
        <w:t>ներկայացնելու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անշարժ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գույքի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հասցեավորման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կամ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համարակալման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հայտ</w:t>
      </w:r>
      <w:proofErr w:type="spellEnd"/>
      <w:r w:rsidRPr="001578FA">
        <w:rPr>
          <w:rFonts w:ascii="GHEA Mariam" w:hAnsi="GHEA Mariam"/>
          <w:color w:val="FF0000"/>
        </w:rPr>
        <w:t xml:space="preserve">, </w:t>
      </w:r>
      <w:proofErr w:type="spellStart"/>
      <w:r w:rsidRPr="001578FA">
        <w:rPr>
          <w:rFonts w:ascii="GHEA Mariam" w:hAnsi="GHEA Mariam"/>
          <w:color w:val="FF0000"/>
        </w:rPr>
        <w:t>որը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Հայաստանի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Հանրապետության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օրենսդրությանը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համապատասխանելու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դեպքում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էլեկտրոնային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եղանակով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կբավարարվի</w:t>
      </w:r>
      <w:proofErr w:type="spellEnd"/>
      <w:r w:rsidRPr="001578FA">
        <w:rPr>
          <w:rFonts w:ascii="GHEA Mariam" w:hAnsi="GHEA Mariam"/>
          <w:color w:val="FF0000"/>
        </w:rPr>
        <w:t xml:space="preserve">, </w:t>
      </w:r>
      <w:proofErr w:type="spellStart"/>
      <w:r w:rsidRPr="001578FA">
        <w:rPr>
          <w:rFonts w:ascii="GHEA Mariam" w:hAnsi="GHEA Mariam"/>
          <w:color w:val="FF0000"/>
        </w:rPr>
        <w:t>հակառակ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դեպքում</w:t>
      </w:r>
      <w:proofErr w:type="spellEnd"/>
      <w:r w:rsidRPr="001578FA">
        <w:rPr>
          <w:rFonts w:ascii="GHEA Mariam" w:hAnsi="GHEA Mariam"/>
          <w:color w:val="FF0000"/>
        </w:rPr>
        <w:t xml:space="preserve">՝ </w:t>
      </w:r>
      <w:proofErr w:type="spellStart"/>
      <w:r w:rsidRPr="001578FA">
        <w:rPr>
          <w:rFonts w:ascii="GHEA Mariam" w:hAnsi="GHEA Mariam"/>
          <w:color w:val="FF0000"/>
        </w:rPr>
        <w:t>կմերժվի</w:t>
      </w:r>
      <w:proofErr w:type="spellEnd"/>
      <w:r w:rsidRPr="001578FA">
        <w:rPr>
          <w:rFonts w:ascii="GHEA Mariam" w:hAnsi="GHEA Mariam"/>
          <w:color w:val="FF0000"/>
        </w:rPr>
        <w:t xml:space="preserve">: </w:t>
      </w:r>
      <w:proofErr w:type="spellStart"/>
      <w:r w:rsidRPr="001578FA">
        <w:rPr>
          <w:rFonts w:ascii="GHEA Mariam" w:hAnsi="GHEA Mariam"/>
          <w:color w:val="FF0000"/>
        </w:rPr>
        <w:t>Հայտը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բավարարվելու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դեպքում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տեղական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ինքնակառավարման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մարմնի</w:t>
      </w:r>
      <w:proofErr w:type="spellEnd"/>
      <w:r w:rsidRPr="001578FA">
        <w:rPr>
          <w:rFonts w:ascii="GHEA Mariam" w:hAnsi="GHEA Mariam"/>
          <w:color w:val="FF0000"/>
        </w:rPr>
        <w:t xml:space="preserve"> (</w:t>
      </w:r>
      <w:proofErr w:type="spellStart"/>
      <w:r w:rsidRPr="001578FA">
        <w:rPr>
          <w:rFonts w:ascii="GHEA Mariam" w:hAnsi="GHEA Mariam"/>
          <w:color w:val="FF0000"/>
        </w:rPr>
        <w:t>համապատասխան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մասնագետի</w:t>
      </w:r>
      <w:proofErr w:type="spellEnd"/>
      <w:r w:rsidRPr="001578FA">
        <w:rPr>
          <w:rFonts w:ascii="GHEA Mariam" w:hAnsi="GHEA Mariam"/>
          <w:color w:val="FF0000"/>
        </w:rPr>
        <w:t xml:space="preserve">) </w:t>
      </w:r>
      <w:proofErr w:type="spellStart"/>
      <w:r w:rsidRPr="001578FA">
        <w:rPr>
          <w:rFonts w:ascii="GHEA Mariam" w:hAnsi="GHEA Mariam"/>
          <w:color w:val="FF0000"/>
        </w:rPr>
        <w:t>կողմից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համակարգ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կներբեռնվի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անշարժ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գույքին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հասցե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տրամադրելու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մասին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համապատասխան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որոշումը</w:t>
      </w:r>
      <w:proofErr w:type="spellEnd"/>
      <w:r w:rsidRPr="001578FA">
        <w:rPr>
          <w:rFonts w:ascii="GHEA Mariam" w:hAnsi="GHEA Mariam"/>
          <w:color w:val="FF0000"/>
        </w:rPr>
        <w:t xml:space="preserve">, </w:t>
      </w:r>
      <w:proofErr w:type="spellStart"/>
      <w:r w:rsidRPr="001578FA">
        <w:rPr>
          <w:rFonts w:ascii="GHEA Mariam" w:hAnsi="GHEA Mariam"/>
          <w:color w:val="FF0000"/>
        </w:rPr>
        <w:t>որը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գույքի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սեփականատիրոջը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կազատվի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անշարժ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գույքին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հասցե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տրամադրելու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մասին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որոշման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ներկայացման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պարտականությունից</w:t>
      </w:r>
      <w:proofErr w:type="spellEnd"/>
      <w:r w:rsidRPr="001578FA">
        <w:rPr>
          <w:rFonts w:ascii="GHEA Mariam" w:hAnsi="GHEA Mariam"/>
          <w:color w:val="FF0000"/>
        </w:rPr>
        <w:t xml:space="preserve">։ </w:t>
      </w:r>
      <w:proofErr w:type="spellStart"/>
      <w:r w:rsidRPr="001578FA">
        <w:rPr>
          <w:rFonts w:ascii="GHEA Mariam" w:hAnsi="GHEA Mariam"/>
          <w:color w:val="FF0000"/>
        </w:rPr>
        <w:t>Հասցեի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գրանցման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արդյունքում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անշարժ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գույքի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հասցեավորման</w:t>
      </w:r>
      <w:proofErr w:type="spellEnd"/>
      <w:r w:rsidRPr="001578FA">
        <w:rPr>
          <w:rFonts w:ascii="GHEA Mariam" w:hAnsi="GHEA Mariam"/>
          <w:color w:val="FF0000"/>
        </w:rPr>
        <w:t xml:space="preserve"> և </w:t>
      </w:r>
      <w:proofErr w:type="spellStart"/>
      <w:r w:rsidRPr="001578FA">
        <w:rPr>
          <w:rFonts w:ascii="GHEA Mariam" w:hAnsi="GHEA Mariam"/>
          <w:color w:val="FF0000"/>
        </w:rPr>
        <w:t>համարակալման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փոփոխությունը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անմիջապես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կարտացոլվի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համակարգում</w:t>
      </w:r>
      <w:proofErr w:type="spellEnd"/>
      <w:r w:rsidRPr="001578FA">
        <w:rPr>
          <w:rFonts w:ascii="GHEA Mariam" w:hAnsi="GHEA Mariam"/>
          <w:color w:val="FF0000"/>
        </w:rPr>
        <w:t xml:space="preserve"> և </w:t>
      </w:r>
      <w:proofErr w:type="spellStart"/>
      <w:r w:rsidRPr="001578FA">
        <w:rPr>
          <w:rFonts w:ascii="GHEA Mariam" w:hAnsi="GHEA Mariam"/>
          <w:color w:val="FF0000"/>
        </w:rPr>
        <w:t>հասանելի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կլինի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օգտվողների</w:t>
      </w:r>
      <w:proofErr w:type="spellEnd"/>
      <w:r w:rsidRPr="001578FA">
        <w:rPr>
          <w:rFonts w:ascii="GHEA Mariam" w:hAnsi="GHEA Mariam"/>
          <w:color w:val="FF0000"/>
        </w:rPr>
        <w:t xml:space="preserve"> </w:t>
      </w:r>
      <w:proofErr w:type="spellStart"/>
      <w:r w:rsidRPr="001578FA">
        <w:rPr>
          <w:rFonts w:ascii="GHEA Mariam" w:hAnsi="GHEA Mariam"/>
          <w:color w:val="FF0000"/>
        </w:rPr>
        <w:t>համար</w:t>
      </w:r>
      <w:proofErr w:type="spellEnd"/>
      <w:r w:rsidRPr="001578FA">
        <w:rPr>
          <w:rFonts w:ascii="GHEA Mariam" w:hAnsi="GHEA Mariam"/>
          <w:color w:val="FF0000"/>
        </w:rPr>
        <w:t>։</w:t>
      </w:r>
    </w:p>
    <w:p w:rsidR="001578FA" w:rsidRPr="001E25F9" w:rsidRDefault="001578FA" w:rsidP="001578FA">
      <w:pPr>
        <w:shd w:val="clear" w:color="auto" w:fill="FFFFFF"/>
        <w:ind w:firstLine="375"/>
        <w:jc w:val="both"/>
        <w:rPr>
          <w:rFonts w:ascii="Sylfaen" w:hAnsi="Sylfaen"/>
          <w:strike/>
          <w:sz w:val="21"/>
          <w:szCs w:val="21"/>
          <w:lang w:val="hy-AM"/>
        </w:rPr>
      </w:pPr>
      <w:r>
        <w:rPr>
          <w:rFonts w:ascii="GHEA Mariam" w:hAnsi="GHEA Mariam" w:cs="AK Courier"/>
          <w:sz w:val="22"/>
          <w:szCs w:val="22"/>
        </w:rPr>
        <w:t xml:space="preserve"> </w:t>
      </w:r>
      <w:r w:rsidR="00157A46" w:rsidRPr="00157A46">
        <w:rPr>
          <w:rFonts w:ascii="Arial Unicode" w:hAnsi="Arial Unicode"/>
          <w:color w:val="000000"/>
          <w:sz w:val="21"/>
          <w:szCs w:val="21"/>
          <w:lang w:val="hy-AM"/>
        </w:rPr>
        <w:t>3) հասցեների ռեեստրի տեղեկատվությունն ինքնաշխատ ձևով կարտացոլվի նաև կադաստրային, ինչպես նաև առցանց տիրույթում առկա քարտեզներում</w:t>
      </w:r>
      <w:r w:rsidR="00157A46" w:rsidRPr="005328CA">
        <w:rPr>
          <w:rFonts w:ascii="Arial Unicode" w:hAnsi="Arial Unicode"/>
          <w:sz w:val="21"/>
          <w:szCs w:val="21"/>
          <w:lang w:val="hy-AM"/>
        </w:rPr>
        <w:t>, մասնավորապես</w:t>
      </w:r>
      <w:r w:rsidR="00157A46" w:rsidRPr="001E25F9">
        <w:rPr>
          <w:rFonts w:ascii="Arial Unicode" w:hAnsi="Arial Unicode"/>
          <w:strike/>
          <w:sz w:val="21"/>
          <w:szCs w:val="21"/>
          <w:highlight w:val="red"/>
          <w:lang w:val="hy-AM"/>
        </w:rPr>
        <w:t>՝ Google Maps, Yandex.Map և այլն.</w:t>
      </w:r>
    </w:p>
    <w:p w:rsidR="001578FA" w:rsidRDefault="00157A46" w:rsidP="001578FA">
      <w:pPr>
        <w:shd w:val="clear" w:color="auto" w:fill="FFFFFF"/>
        <w:ind w:firstLine="375"/>
        <w:jc w:val="both"/>
        <w:rPr>
          <w:rFonts w:ascii="GHEA Mariam" w:hAnsi="GHEA Mariam"/>
          <w:color w:val="000000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 xml:space="preserve">4) օրենսդրական համապատասխան կարգավորումներով կհստակեցվի և կդյուրացվի հասցեավորմանը վերաբերող օրենսդրական դաշտը: </w:t>
      </w:r>
      <w:r w:rsidRPr="001578FA">
        <w:rPr>
          <w:rFonts w:ascii="Arial Unicode" w:hAnsi="Arial Unicode"/>
          <w:strike/>
          <w:color w:val="000000"/>
          <w:sz w:val="21"/>
          <w:szCs w:val="21"/>
          <w:highlight w:val="red"/>
          <w:lang w:val="hy-AM"/>
        </w:rPr>
        <w:t>Տվյալ պահին առկա են ոլորտին վերաբերող մոտ մեկ տասնյակ իրավական ակտեր, որոնք ընդունվել են 2000-2010 թվականներին և փոփոխությունների անհրաժեշտություն ունեն:</w:t>
      </w:r>
      <w:r w:rsidR="001578FA" w:rsidRPr="001578FA">
        <w:rPr>
          <w:rFonts w:ascii="GHEA Mariam" w:hAnsi="GHEA Mariam"/>
          <w:color w:val="000000"/>
        </w:rPr>
        <w:t xml:space="preserve"> </w:t>
      </w:r>
      <w:bookmarkStart w:id="0" w:name="_GoBack"/>
      <w:bookmarkEnd w:id="0"/>
    </w:p>
    <w:p w:rsidR="00157A46" w:rsidRPr="00E16F7E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157A46" w:rsidRPr="00E16F7E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b/>
          <w:bCs/>
          <w:caps/>
          <w:color w:val="000000"/>
          <w:sz w:val="21"/>
          <w:szCs w:val="21"/>
          <w:lang w:val="hy-AM"/>
        </w:rPr>
        <w:t>4. ՀԱՍՑԵՆԵՐԻ ՄԻԱՍՆԱԿԱՆ ՌԵԳԻՍՏՐԻ ԵՎ ՀԱՍՑԵՆԵՐԻ ՌԵԵՍՏՐԻ ԻՆՔՆԱՇԽԱՏ ՏԵՂԵԿԱՏՎԱԿԱՆ ՀԱՄԱԿԱՐԳԻ ՍՏԵՂԾՄԱՆ ՆՊԱՏԱԿՆԵՐԸ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7. Հասցեների ինքնաշխատ տեղեկատվական համակարգի ստեղծման նպատակներն են՝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1) ստեղծել Հայաստանի Հանրապետության հասցեների միասնական ռեգիստր, որով կլուծվեն վերը շարադրված խնդիրները.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2) հստակեցնել բնակավայրերում ներբնակավայրային աշխարհագրական oբյեկտների անվանակոչման և անվանափոխման գրանցման ընթացակարգերը.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3) հստակեցնել աշխարհագրական օբյեկտների անվանակոչման կամ անվանափոխման մասին առաջարկների մերժման հիմքերը և դրանց հետևանքները.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4) հնարավորինս պարզեցնել անշարժ գույքի համարակալման, հաuցեավորման ընթացակարգերը.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5) համընդհանուր ծանոթացման համար հասանելի դարձնել հասցեների քարտեզները (հատակագծերը).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6) ապահովել անշարժ գույքի հասցեների վերաբերյալ տեղեկատվության միատեսակությունը պետական մարմինների կողմից իրենց հանձնարարված գործառույթների իրականացման գործում՝ բացառելով անշարժ գույքի տարբեր օբյեկտների նույնական հասցեների առկայությունը.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7) ապահովել կադաստրային, ինչպես նաև առցանց տիրույթում առկա քարտեզներում անշարժ գույքերի ճշգրիտ հասցեների առկայությունը:</w:t>
      </w:r>
    </w:p>
    <w:p w:rsidR="00157A46" w:rsidRPr="00E16F7E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Calibri" w:hAnsi="Calibri" w:cs="Calibri"/>
          <w:color w:val="000000"/>
          <w:sz w:val="21"/>
          <w:szCs w:val="21"/>
          <w:lang w:val="hy-AM"/>
        </w:rPr>
        <w:lastRenderedPageBreak/>
        <w:t> </w:t>
      </w:r>
    </w:p>
    <w:p w:rsidR="00157A46" w:rsidRPr="00E16F7E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t>5. ՆՈՐ ՀԱՄԱԿԱՐԳԻ ՆԵՐԴՐՄԱՆ ԳՈՐԾՆԱԿԱՆ ԱՇԽԱՏԱՆՔՆԵՐԸ</w:t>
      </w:r>
    </w:p>
    <w:p w:rsidR="00157A46" w:rsidRPr="00E16F7E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8. Համակարգի ներդրման համար համայնքների հետ անհրաժեշտ կլինի իրականացնել հետևյալ աշխատանքները՝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1) ճշգրտել հասցեների ռեեստրը՝ այն համեմատելով համայնքներում փաստացի հասցեավորման հետ, որի համար անհրաժեշտ է մեկ քաղաքային կամ հնարավորինս մեծ գյուղական համայնքում իրականացնել հասցեների ճշգրտում և պիլոտային ձևով համակարգը գործարկել նշված համայնքում.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2) մշակել հասցեների ուղղման դյուրին և օպտիմալ տարբերակ՝ այն մյուս համայնքներում կիրառելու նպատակով.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3) Կադաստրի կոմիտեի կայքում (e-cadastre.am) տեղադրել հասցեների ռեեստրի ինքնաշխատ տեղեկատվական համակարգը.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4) մարզկենտրոններում, քաղաքային համայնքներում կազմակերպել հանդիպումներ համայնքի ղեկավարների հետ, ներկայացնել հասցեների ռեեստրի ինքնաշխատ տեղեկատվական համակարգից օգտվելու կարգը, անհրաժեշտության դեպքում՝ իրականացնել մասնագետների վերապատրաստում:</w:t>
      </w:r>
    </w:p>
    <w:p w:rsidR="00157A46" w:rsidRPr="00E16F7E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157A46" w:rsidRPr="00E16F7E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t>6. ՖԻՆԱՆՍԱԿԱՆ ԳՆԱՀԱՏԱԿԱՆԸ</w:t>
      </w:r>
    </w:p>
    <w:p w:rsidR="00157A46" w:rsidRPr="00E16F7E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157A46" w:rsidRPr="00157A46" w:rsidRDefault="00157A46" w:rsidP="00397721">
      <w:pPr>
        <w:shd w:val="clear" w:color="auto" w:fill="FFFFFF"/>
        <w:ind w:firstLine="375"/>
        <w:jc w:val="both"/>
        <w:rPr>
          <w:rFonts w:ascii="Arial Unicode" w:hAnsi="Arial Unicode"/>
          <w:strike/>
          <w:color w:val="000000"/>
          <w:sz w:val="21"/>
          <w:szCs w:val="21"/>
          <w:highlight w:val="red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 xml:space="preserve">9. </w:t>
      </w:r>
      <w:r w:rsidRPr="00E16F7E">
        <w:rPr>
          <w:rFonts w:ascii="Arial Unicode" w:hAnsi="Arial Unicode"/>
          <w:strike/>
          <w:color w:val="000000"/>
          <w:sz w:val="21"/>
          <w:szCs w:val="21"/>
          <w:highlight w:val="red"/>
          <w:lang w:val="hy-AM"/>
        </w:rPr>
        <w:t>Պահանջվող ֆինանսական միջոցների չափը կճշտվի հասցեների միասնական ռեգիստրի ստեղծման և ներդրման ծրագրի կազմման ընթացքում: Նկատի ունենալով, որ տեղական ինքնակառավարման մարմինները գույքին հասցե տրամադրելու համար գանձում են նաև վճար, ուստի կարող է առաջանալ համայնքների եկամուտների նվազեցում, որը մեղմելու համար համապատասխան միջոցներ կձեռնարկվեն: Կադաստրի կոմիտեն պետք է փորձի համայնքներին տրված այս լիազորության իրականացման շրջանակում գանձել գումար՝ միայն նույն համայնքների կողմից այդ գործառույթի համար ծախսվող գումարների չափով՝ հնարավորինս պահպանելով համայնքային եկամուտները։</w:t>
      </w:r>
      <w:r w:rsidR="001E3C64" w:rsidRPr="00E16F7E">
        <w:rPr>
          <w:rFonts w:ascii="Arial Unicode" w:hAnsi="Arial Unicode"/>
          <w:strike/>
          <w:color w:val="000000"/>
          <w:sz w:val="21"/>
          <w:szCs w:val="21"/>
          <w:highlight w:val="red"/>
          <w:lang w:val="hy-AM"/>
        </w:rPr>
        <w:t xml:space="preserve"> </w:t>
      </w:r>
    </w:p>
    <w:p w:rsidR="001E3C64" w:rsidRPr="00AE77AB" w:rsidRDefault="00157A46" w:rsidP="00397721">
      <w:pPr>
        <w:shd w:val="clear" w:color="auto" w:fill="FFFFFF"/>
        <w:ind w:firstLine="375"/>
        <w:jc w:val="both"/>
        <w:rPr>
          <w:rFonts w:ascii="GHEA Mariam" w:hAnsi="GHEA Mariam" w:cs="AK Courier"/>
          <w:sz w:val="22"/>
          <w:szCs w:val="22"/>
          <w:lang w:val="hy-AM"/>
        </w:rPr>
      </w:pPr>
      <w:r w:rsidRPr="00157A46">
        <w:rPr>
          <w:rFonts w:ascii="Calibri" w:hAnsi="Calibri" w:cs="Calibri"/>
          <w:color w:val="000000"/>
          <w:sz w:val="21"/>
          <w:szCs w:val="21"/>
          <w:lang w:val="hy-AM"/>
        </w:rPr>
        <w:t> </w:t>
      </w:r>
      <w:r w:rsidR="001E3C64" w:rsidRPr="001E3C64">
        <w:rPr>
          <w:rFonts w:ascii="GHEA Mariam" w:hAnsi="GHEA Mariam"/>
          <w:color w:val="FF0000"/>
          <w:lang w:val="hy-AM"/>
        </w:rPr>
        <w:t>«Պահանջվող ֆինանսական միջոցների չափը կճշտվի հասցեների միասնական ռեգիստրի ստեղծման և ներդրման ծրագրի կազմման ընթացքում</w:t>
      </w:r>
      <w:r w:rsidR="001E3C64" w:rsidRPr="009A0663">
        <w:rPr>
          <w:rFonts w:ascii="GHEA Mariam" w:hAnsi="GHEA Mariam"/>
          <w:color w:val="FF0000"/>
          <w:lang w:val="hy-AM"/>
        </w:rPr>
        <w:t>:</w:t>
      </w:r>
      <w:r w:rsidR="001E3C64" w:rsidRPr="001E3C64">
        <w:rPr>
          <w:rFonts w:ascii="GHEA Mariam" w:hAnsi="GHEA Mariam"/>
          <w:color w:val="FF0000"/>
          <w:lang w:val="hy-AM"/>
        </w:rPr>
        <w:t>»։</w:t>
      </w:r>
      <w:r w:rsidR="001E3C64" w:rsidRPr="00AE77AB">
        <w:rPr>
          <w:rFonts w:ascii="GHEA Mariam" w:hAnsi="GHEA Mariam" w:cs="AK Courier"/>
          <w:sz w:val="22"/>
          <w:szCs w:val="22"/>
          <w:lang w:val="hy-AM"/>
        </w:rPr>
        <w:t xml:space="preserve"> </w:t>
      </w:r>
    </w:p>
    <w:p w:rsidR="00157A46" w:rsidRPr="00157A46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</w:p>
    <w:p w:rsidR="00157A46" w:rsidRPr="00E16F7E" w:rsidRDefault="00157A46" w:rsidP="00157A46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t>7. ԱՄՓՈՓ ԵԶՐԱԿԱՑՈՒԹՅՈՒՆ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10. Հայեցակարգի ընդունումը կնպաստի՝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1) հասցեավորման առկա իրավիճակն օրենսդրությամբ սահմանված կարգի պահանջներին համապատասխանեցնելու գործընթացի արագացմանը.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2) հասցեի տրամադրման և գրանցման գործընթացի պարզեցմանը, յուրաքանչյուր բնակավայրի համար հասցեների քարտեզների ստեղծմանը և դրանց հրապարակայնությանը.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3) հասցեների ռեեստրը ինքնաշխատ տեղեկատվական համակարգի միջոցով հասանելի դարձնելը։</w:t>
      </w:r>
    </w:p>
    <w:p w:rsidR="00157A46" w:rsidRPr="00E16F7E" w:rsidRDefault="00157A46" w:rsidP="00157A46">
      <w:pPr>
        <w:shd w:val="clear" w:color="auto" w:fill="FFFFFF"/>
        <w:ind w:firstLine="375"/>
        <w:rPr>
          <w:rFonts w:ascii="Arial Unicode" w:hAnsi="Arial Unicode"/>
          <w:color w:val="000000"/>
          <w:sz w:val="21"/>
          <w:szCs w:val="21"/>
          <w:lang w:val="hy-AM"/>
        </w:rPr>
      </w:pPr>
      <w:r w:rsidRPr="00E16F7E">
        <w:rPr>
          <w:rFonts w:ascii="Arial Unicode" w:hAnsi="Arial Unicode"/>
          <w:color w:val="000000"/>
          <w:sz w:val="21"/>
          <w:szCs w:val="21"/>
          <w:lang w:val="hy-AM"/>
        </w:rPr>
        <w:t>11. Գործընթացների իրավական կարգավորման հայեցակարգի ընդունմանը պետք է հաջորդի դրանում ամրագրված տեսլականի իրականացման օրենսդրական դաշտի կատարելագործումը:</w:t>
      </w:r>
    </w:p>
    <w:p w:rsidR="00157A46" w:rsidRDefault="00157A46" w:rsidP="005D796F">
      <w:pPr>
        <w:pStyle w:val="mechtex"/>
        <w:tabs>
          <w:tab w:val="left" w:pos="9799"/>
        </w:tabs>
        <w:jc w:val="right"/>
        <w:rPr>
          <w:rFonts w:ascii="GHEA Mariam" w:hAnsi="GHEA Mariam"/>
          <w:spacing w:val="-8"/>
          <w:lang w:val="af-ZA"/>
        </w:rPr>
      </w:pPr>
    </w:p>
    <w:p w:rsidR="00157A46" w:rsidRDefault="00157A46" w:rsidP="005D796F">
      <w:pPr>
        <w:pStyle w:val="mechtex"/>
        <w:tabs>
          <w:tab w:val="left" w:pos="9799"/>
        </w:tabs>
        <w:jc w:val="right"/>
        <w:rPr>
          <w:rFonts w:ascii="GHEA Mariam" w:hAnsi="GHEA Mariam"/>
          <w:spacing w:val="-8"/>
          <w:lang w:val="af-ZA"/>
        </w:rPr>
      </w:pPr>
    </w:p>
    <w:p w:rsidR="00157A46" w:rsidRDefault="00157A46" w:rsidP="005D796F">
      <w:pPr>
        <w:pStyle w:val="mechtex"/>
        <w:tabs>
          <w:tab w:val="left" w:pos="9799"/>
        </w:tabs>
        <w:jc w:val="right"/>
        <w:rPr>
          <w:rFonts w:ascii="GHEA Mariam" w:hAnsi="GHEA Mariam"/>
          <w:spacing w:val="-8"/>
          <w:lang w:val="af-ZA"/>
        </w:rPr>
      </w:pPr>
    </w:p>
    <w:sectPr w:rsidR="00157A46" w:rsidSect="00BE6C17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00EC"/>
    <w:multiLevelType w:val="hybridMultilevel"/>
    <w:tmpl w:val="1018CC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E6BE7"/>
    <w:multiLevelType w:val="hybridMultilevel"/>
    <w:tmpl w:val="14B48C36"/>
    <w:lvl w:ilvl="0" w:tplc="7F50862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38A"/>
    <w:rsid w:val="00012F94"/>
    <w:rsid w:val="00035A25"/>
    <w:rsid w:val="000B27EA"/>
    <w:rsid w:val="000C094F"/>
    <w:rsid w:val="000E3C3C"/>
    <w:rsid w:val="000F3D1D"/>
    <w:rsid w:val="00141024"/>
    <w:rsid w:val="0014726F"/>
    <w:rsid w:val="001541C1"/>
    <w:rsid w:val="001578FA"/>
    <w:rsid w:val="00157A46"/>
    <w:rsid w:val="001820E5"/>
    <w:rsid w:val="001B710E"/>
    <w:rsid w:val="001E25F9"/>
    <w:rsid w:val="001E3C64"/>
    <w:rsid w:val="002450C8"/>
    <w:rsid w:val="00245161"/>
    <w:rsid w:val="00253B93"/>
    <w:rsid w:val="002D2F71"/>
    <w:rsid w:val="002E4403"/>
    <w:rsid w:val="002F3D8F"/>
    <w:rsid w:val="00301DC9"/>
    <w:rsid w:val="00306545"/>
    <w:rsid w:val="00361701"/>
    <w:rsid w:val="00397721"/>
    <w:rsid w:val="00397908"/>
    <w:rsid w:val="003D5733"/>
    <w:rsid w:val="0048496E"/>
    <w:rsid w:val="004974AA"/>
    <w:rsid w:val="004F2FCE"/>
    <w:rsid w:val="005328CA"/>
    <w:rsid w:val="00563F53"/>
    <w:rsid w:val="005D796F"/>
    <w:rsid w:val="00604BE8"/>
    <w:rsid w:val="00631943"/>
    <w:rsid w:val="00635E13"/>
    <w:rsid w:val="00636C9B"/>
    <w:rsid w:val="00653F51"/>
    <w:rsid w:val="00655CE2"/>
    <w:rsid w:val="00672BC3"/>
    <w:rsid w:val="00691627"/>
    <w:rsid w:val="006B41E3"/>
    <w:rsid w:val="00761E8D"/>
    <w:rsid w:val="00773ACE"/>
    <w:rsid w:val="007D57CB"/>
    <w:rsid w:val="0085571F"/>
    <w:rsid w:val="00921CA7"/>
    <w:rsid w:val="00945CDA"/>
    <w:rsid w:val="00957BE7"/>
    <w:rsid w:val="009A0663"/>
    <w:rsid w:val="009E7326"/>
    <w:rsid w:val="009F278A"/>
    <w:rsid w:val="00A804E2"/>
    <w:rsid w:val="00A83972"/>
    <w:rsid w:val="00AB09AF"/>
    <w:rsid w:val="00AE77AB"/>
    <w:rsid w:val="00B577FA"/>
    <w:rsid w:val="00B720CA"/>
    <w:rsid w:val="00B84435"/>
    <w:rsid w:val="00BE6C17"/>
    <w:rsid w:val="00BF438A"/>
    <w:rsid w:val="00C665A8"/>
    <w:rsid w:val="00CB55C4"/>
    <w:rsid w:val="00D05BC3"/>
    <w:rsid w:val="00D852D0"/>
    <w:rsid w:val="00DE3E88"/>
    <w:rsid w:val="00E16F7E"/>
    <w:rsid w:val="00E16FA5"/>
    <w:rsid w:val="00E61CF6"/>
    <w:rsid w:val="00F51F63"/>
    <w:rsid w:val="00F5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34119-74F1-485C-BB4E-50E5FA4B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5A8"/>
    <w:pPr>
      <w:spacing w:after="0" w:line="240" w:lineRule="auto"/>
    </w:pPr>
    <w:rPr>
      <w:rFonts w:ascii="Arial Armenian" w:eastAsia="Times New Roman" w:hAnsi="Arial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7AB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5D796F"/>
    <w:pPr>
      <w:jc w:val="center"/>
    </w:pPr>
    <w:rPr>
      <w:rFonts w:ascii="Times New Roman" w:hAnsi="Times New Roman"/>
      <w:sz w:val="22"/>
    </w:rPr>
  </w:style>
  <w:style w:type="character" w:customStyle="1" w:styleId="mechtexChar">
    <w:name w:val="mechtex Char"/>
    <w:link w:val="mechtex"/>
    <w:rsid w:val="005D796F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F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94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7A46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57A46"/>
    <w:rPr>
      <w:b/>
      <w:bCs/>
    </w:rPr>
  </w:style>
  <w:style w:type="character" w:styleId="Emphasis">
    <w:name w:val="Emphasis"/>
    <w:basedOn w:val="DefaultParagraphFont"/>
    <w:uiPriority w:val="20"/>
    <w:qFormat/>
    <w:rsid w:val="00157A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Grancum</dc:creator>
  <cp:keywords/>
  <dc:description/>
  <cp:lastModifiedBy>user</cp:lastModifiedBy>
  <cp:revision>6</cp:revision>
  <cp:lastPrinted>2020-03-26T07:30:00Z</cp:lastPrinted>
  <dcterms:created xsi:type="dcterms:W3CDTF">2020-06-03T09:37:00Z</dcterms:created>
  <dcterms:modified xsi:type="dcterms:W3CDTF">2020-06-04T07:07:00Z</dcterms:modified>
</cp:coreProperties>
</file>