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BF" w:rsidRPr="00A92C9F" w:rsidRDefault="003C25BF" w:rsidP="003C25BF">
      <w:pPr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  <w:r w:rsidRPr="00A92C9F">
        <w:rPr>
          <w:rFonts w:ascii="GHEA Grapalat" w:hAnsi="GHEA Grapalat"/>
          <w:b/>
          <w:sz w:val="24"/>
          <w:szCs w:val="24"/>
        </w:rPr>
        <w:t>ՀԻՄՆԱՎՈՐՈՒՄ</w:t>
      </w:r>
    </w:p>
    <w:p w:rsidR="003C25BF" w:rsidRPr="00A92C9F" w:rsidRDefault="003C25BF" w:rsidP="003C25BF">
      <w:pPr>
        <w:ind w:right="-25" w:firstLine="600"/>
        <w:jc w:val="center"/>
        <w:rPr>
          <w:rFonts w:ascii="GHEA Grapalat" w:hAnsi="GHEA Grapalat"/>
          <w:sz w:val="24"/>
          <w:szCs w:val="24"/>
          <w:lang w:val="en-US"/>
        </w:rPr>
      </w:pPr>
    </w:p>
    <w:p w:rsidR="003C25BF" w:rsidRPr="00A92C9F" w:rsidRDefault="003C25BF" w:rsidP="003C25BF">
      <w:pPr>
        <w:ind w:right="-25" w:firstLine="600"/>
        <w:jc w:val="center"/>
        <w:rPr>
          <w:rFonts w:ascii="GHEA Grapalat" w:hAnsi="GHEA Grapalat"/>
          <w:sz w:val="24"/>
          <w:szCs w:val="24"/>
          <w:lang w:val="fr-FR"/>
        </w:rPr>
      </w:pPr>
      <w:r w:rsidRPr="00A92C9F">
        <w:rPr>
          <w:rFonts w:ascii="GHEA Grapalat" w:hAnsi="GHEA Grapalat"/>
          <w:sz w:val="24"/>
          <w:szCs w:val="24"/>
        </w:rPr>
        <w:t>Հայաստանի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կառավարության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A92C9F">
        <w:rPr>
          <w:rFonts w:ascii="GHEA Grapalat" w:hAnsi="GHEA Grapalat"/>
          <w:sz w:val="24"/>
          <w:szCs w:val="24"/>
        </w:rPr>
        <w:t>Հայաստանի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sz w:val="24"/>
          <w:szCs w:val="24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հաստատությունների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20/2021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ուսուցման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A92C9F">
        <w:rPr>
          <w:rFonts w:ascii="GHEA Grapalat" w:hAnsi="GHEA Grapalat" w:cs="Sylfaen"/>
          <w:sz w:val="24"/>
          <w:szCs w:val="24"/>
        </w:rPr>
        <w:t>նպաստի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ձևով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ուսման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վճարի</w:t>
      </w:r>
      <w:r w:rsidRPr="00A92C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լրիվ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տեղերը</w:t>
      </w:r>
      <w:r w:rsidRPr="00A92C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հաստատելու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92C9F">
        <w:rPr>
          <w:rFonts w:ascii="GHEA Grapalat" w:hAnsi="GHEA Grapalat"/>
          <w:sz w:val="24"/>
          <w:szCs w:val="24"/>
        </w:rPr>
        <w:t>որոշման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նախագծի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վերաբերյալ</w:t>
      </w:r>
    </w:p>
    <w:p w:rsidR="003C25BF" w:rsidRPr="00A92C9F" w:rsidRDefault="003C25BF" w:rsidP="003C25BF">
      <w:pPr>
        <w:ind w:right="-25" w:firstLine="600"/>
        <w:rPr>
          <w:rFonts w:ascii="GHEA Grapalat" w:hAnsi="GHEA Grapalat"/>
          <w:sz w:val="16"/>
          <w:szCs w:val="16"/>
          <w:lang w:val="fr-FR"/>
        </w:rPr>
      </w:pPr>
    </w:p>
    <w:p w:rsidR="003C25BF" w:rsidRPr="00A92C9F" w:rsidRDefault="003C25BF" w:rsidP="003C25BF">
      <w:pPr>
        <w:ind w:right="-25"/>
        <w:rPr>
          <w:rFonts w:ascii="GHEA Grapalat" w:hAnsi="GHEA Grapalat"/>
          <w:sz w:val="16"/>
          <w:szCs w:val="16"/>
          <w:lang w:val="fr-FR"/>
        </w:rPr>
      </w:pPr>
    </w:p>
    <w:p w:rsidR="003C25BF" w:rsidRPr="00A92C9F" w:rsidRDefault="003C25BF" w:rsidP="003C25BF">
      <w:pPr>
        <w:numPr>
          <w:ilvl w:val="0"/>
          <w:numId w:val="1"/>
        </w:numPr>
        <w:tabs>
          <w:tab w:val="clear" w:pos="1800"/>
          <w:tab w:val="left" w:pos="500"/>
          <w:tab w:val="num" w:pos="600"/>
        </w:tabs>
        <w:spacing w:after="0"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C9F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3C25BF" w:rsidRPr="00A92C9F" w:rsidRDefault="003C25BF" w:rsidP="003C25BF">
      <w:pPr>
        <w:tabs>
          <w:tab w:val="left" w:pos="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92C9F">
        <w:rPr>
          <w:rFonts w:ascii="GHEA Grapalat" w:hAnsi="GHEA Grapalat"/>
          <w:sz w:val="24"/>
          <w:szCs w:val="24"/>
        </w:rPr>
        <w:t>Որոշման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նախագծի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անհրաժեշտությունը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պայմանավորված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է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>«</w:t>
      </w:r>
      <w:r w:rsidRPr="00A92C9F">
        <w:rPr>
          <w:rFonts w:ascii="GHEA Grapalat" w:hAnsi="GHEA Grapalat" w:cs="Sylfaen"/>
          <w:spacing w:val="10"/>
          <w:sz w:val="24"/>
          <w:szCs w:val="24"/>
        </w:rPr>
        <w:t>Կրթության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մասին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»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Հայաստանի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Հանրապետության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օրենքի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36-</w:t>
      </w:r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հոդվածի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4-</w:t>
      </w:r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կետի</w:t>
      </w:r>
      <w:r w:rsidRPr="003C25BF">
        <w:rPr>
          <w:rFonts w:ascii="GHEA Grapalat" w:hAnsi="GHEA Grapalat" w:cs="Sylfaen"/>
          <w:spacing w:val="10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պահանջից</w:t>
      </w:r>
      <w:r w:rsidRPr="003C25BF">
        <w:rPr>
          <w:rFonts w:ascii="GHEA Grapalat" w:hAnsi="GHEA Grapalat" w:cs="Sylfaen"/>
          <w:spacing w:val="10"/>
          <w:sz w:val="24"/>
          <w:szCs w:val="24"/>
          <w:lang w:val="en-US"/>
        </w:rPr>
        <w:t xml:space="preserve">,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ինչպես</w:t>
      </w:r>
      <w:r w:rsidRPr="003C25BF">
        <w:rPr>
          <w:rFonts w:ascii="GHEA Grapalat" w:hAnsi="GHEA Grapalat" w:cs="Sylfaen"/>
          <w:spacing w:val="10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նաև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sz w:val="24"/>
          <w:szCs w:val="24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հաստատությունների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20/2021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ուսուցման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A92C9F">
        <w:rPr>
          <w:rFonts w:ascii="GHEA Grapalat" w:hAnsi="GHEA Grapalat" w:cs="Sylfaen"/>
          <w:sz w:val="24"/>
          <w:szCs w:val="24"/>
        </w:rPr>
        <w:t>նպաստի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ձևով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ուսման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վճարի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փոխհատուցմամբ</w:t>
      </w:r>
      <w:r w:rsidRPr="003C25BF">
        <w:rPr>
          <w:rFonts w:ascii="GHEA Grapalat" w:hAnsi="GHEA Grapalat"/>
          <w:sz w:val="24"/>
          <w:szCs w:val="24"/>
          <w:lang w:val="en-US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տեղերի հաստատմամբ և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հաստատություններում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ընդունելության գործընթաց</w:t>
      </w:r>
      <w:r w:rsidRPr="00A92C9F">
        <w:rPr>
          <w:rFonts w:ascii="GHEA Grapalat" w:hAnsi="GHEA Grapalat"/>
          <w:sz w:val="24"/>
          <w:szCs w:val="24"/>
          <w:lang w:val="hy-AM"/>
        </w:rPr>
        <w:t>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կազմակերպմամբ:</w:t>
      </w:r>
      <w:r w:rsidRPr="00A92C9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C25BF" w:rsidRPr="00A92C9F" w:rsidRDefault="003C25BF" w:rsidP="003C25BF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16"/>
          <w:szCs w:val="16"/>
          <w:lang w:val="af-ZA"/>
        </w:rPr>
      </w:pPr>
    </w:p>
    <w:p w:rsidR="003C25BF" w:rsidRPr="00A92C9F" w:rsidRDefault="003C25BF" w:rsidP="003C25BF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2. Ընթացիկ իրավիճակը և խնդիրները  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Յուրաքանչյուր ուսումնական տարի 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կողմից հաստատվում է տվյալ ուսումնական տարվա համար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տեղերն` ըստ պետական կառավարման լիազորված մարմինների</w:t>
      </w:r>
      <w:r w:rsidRPr="0071622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ենթկայությամբ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նախնական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արհեստագործական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իրականացնող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հաստատություններ</w:t>
      </w:r>
      <w:proofErr w:type="spellEnd"/>
      <w:r w:rsidRPr="00A92C9F">
        <w:rPr>
          <w:rFonts w:ascii="GHEA Grapalat" w:hAnsi="GHEA Grapalat"/>
          <w:sz w:val="24"/>
          <w:szCs w:val="24"/>
          <w:lang w:val="hy-AM"/>
        </w:rPr>
        <w:t>: Պետական կառավարման լիազորված մարմինը, հիմք ընդունելով ՀՀ կառավարության որոշումը,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lastRenderedPageBreak/>
        <w:t xml:space="preserve">տեղերն ըստ մասնագիտությունների հատկացնում է իր ենթակայությամբ գործող ուսումնական հաստատություններին: 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71622A">
        <w:rPr>
          <w:rFonts w:ascii="GHEA Grapalat" w:hAnsi="GHEA Grapalat"/>
          <w:lang w:val="hy-AM"/>
        </w:rPr>
        <w:t xml:space="preserve">ՀՀ պետական բյուջեից կրթության ոլորտի </w:t>
      </w:r>
      <w:r w:rsidRPr="0071622A">
        <w:rPr>
          <w:rFonts w:ascii="GHEA Grapalat" w:hAnsi="GHEA Grapalat"/>
          <w:color w:val="000000"/>
          <w:lang w:val="hy-AM"/>
        </w:rPr>
        <w:t xml:space="preserve">ֆինանսավորման ավելացմամբ </w:t>
      </w:r>
      <w:r w:rsidRPr="0071622A">
        <w:rPr>
          <w:rFonts w:ascii="GHEA Grapalat" w:hAnsi="GHEA Grapalat"/>
          <w:iCs/>
          <w:color w:val="000000"/>
          <w:lang w:val="hy-AM"/>
        </w:rPr>
        <w:t xml:space="preserve">պայմանավորված` անվճար ուսուցմամբ (նպաստի ձևով ուսման վճարի լրիվ փոխհատուցմամբ) ընդունելության տեղերը նախնական մասնագիտական (արհեստագործական) կրթական ծրագրով ավելացել է 600-ով, իսկ միջին մասնագիտական կրթական ծրագրով` 1439-ով, համեմատած 2019/2020 ուսումնական տարվա համար ՀՀ կառավարության կողմից հատկացված տեղերի: Անվճար ուսուցմամբ (նպաստի ձևով ուսման վճարի լրիվ փոխհատուցմամբ) ընդունելության 60 տեղ ավելացվել է նաև </w:t>
      </w:r>
      <w:r w:rsidRPr="0071622A">
        <w:rPr>
          <w:rFonts w:ascii="GHEA Grapalat" w:hAnsi="GHEA Grapalat" w:cs="Sylfaen"/>
          <w:szCs w:val="24"/>
          <w:lang w:val="hy-AM"/>
        </w:rPr>
        <w:t>ՀՀ</w:t>
      </w:r>
      <w:r w:rsidRPr="005A1EFA">
        <w:rPr>
          <w:rFonts w:ascii="GHEA Grapalat" w:hAnsi="GHEA Grapalat" w:cs="Sylfaen"/>
          <w:szCs w:val="24"/>
          <w:lang w:val="hy-AM"/>
        </w:rPr>
        <w:t xml:space="preserve"> արտակարգ իրավիճակների նախարարության </w:t>
      </w:r>
      <w:r w:rsidRPr="0071622A">
        <w:rPr>
          <w:rFonts w:ascii="GHEA Grapalat" w:hAnsi="GHEA Grapalat" w:cs="Sylfaen"/>
          <w:szCs w:val="24"/>
          <w:lang w:val="hy-AM"/>
        </w:rPr>
        <w:t>Ճ</w:t>
      </w:r>
      <w:r w:rsidRPr="005A1EFA">
        <w:rPr>
          <w:rFonts w:ascii="GHEA Grapalat" w:hAnsi="GHEA Grapalat" w:cs="Sylfaen"/>
          <w:szCs w:val="24"/>
          <w:lang w:val="hy-AM"/>
        </w:rPr>
        <w:t>գնաժամային կառավարման պետական ակադեմիա</w:t>
      </w:r>
      <w:r w:rsidRPr="0071622A">
        <w:rPr>
          <w:rFonts w:ascii="GHEA Grapalat" w:hAnsi="GHEA Grapalat" w:cs="Sylfaen"/>
          <w:szCs w:val="24"/>
          <w:lang w:val="hy-AM"/>
        </w:rPr>
        <w:t>յի</w:t>
      </w:r>
      <w:r w:rsidRPr="00B5343E">
        <w:rPr>
          <w:rFonts w:ascii="GHEA Grapalat" w:hAnsi="GHEA Grapalat" w:cs="Sylfaen"/>
          <w:color w:val="000000"/>
          <w:szCs w:val="24"/>
          <w:lang w:val="hy-AM"/>
        </w:rPr>
        <w:t xml:space="preserve"> միջին մասնագիտական կրթական ծրագր</w:t>
      </w:r>
      <w:r w:rsidRPr="0071622A">
        <w:rPr>
          <w:rFonts w:ascii="GHEA Grapalat" w:hAnsi="GHEA Grapalat" w:cs="Sylfaen"/>
          <w:color w:val="000000"/>
          <w:szCs w:val="24"/>
          <w:lang w:val="hy-AM"/>
        </w:rPr>
        <w:t>ով: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71622A">
        <w:rPr>
          <w:rFonts w:ascii="GHEA Grapalat" w:hAnsi="GHEA Grapalat"/>
          <w:iCs/>
          <w:color w:val="000000"/>
          <w:lang w:val="hy-AM"/>
        </w:rPr>
        <w:t xml:space="preserve"> Միաժամանակ հարկ եմ համարում նշել, որ 2019/2020 ուսումնական տարում 2018/2019 ուսումնական տարվա համեմատ նախնական մասնագիտական (արհեստագործական) կրթական ծրագրով անվճար ուսուցմամբ (նպաստի ձևով ուսման վճարի լրիվ փոխհատուցմամբ) ընդունելության տեղերը նվազել էր 377-ով, իսկ միջին մասնագիտական կրթական ծրագրով` 1413-ով: Տեղերը ավելացվել են հիմնականում ՀՀ տնտեսության գերակա ոլորտներ հանդիսացող և աշխատաշուկայում պահանջարկ ունեցող մասնագիտությունների գծով, մասնավորապես.</w:t>
      </w:r>
    </w:p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  <w:r>
        <w:rPr>
          <w:rFonts w:ascii="GHEA Grapalat" w:hAnsi="GHEA Grapalat"/>
          <w:iCs/>
          <w:color w:val="000000"/>
          <w:lang w:val="en-US"/>
        </w:rPr>
        <w:t xml:space="preserve">1. </w:t>
      </w:r>
      <w:proofErr w:type="spellStart"/>
      <w:r>
        <w:rPr>
          <w:rFonts w:ascii="GHEA Grapalat" w:hAnsi="GHEA Grapalat"/>
          <w:iCs/>
          <w:color w:val="000000"/>
          <w:lang w:val="en-US"/>
        </w:rPr>
        <w:t>Նախնական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մասնագիտական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(</w:t>
      </w:r>
      <w:proofErr w:type="spellStart"/>
      <w:r>
        <w:rPr>
          <w:rFonts w:ascii="GHEA Grapalat" w:hAnsi="GHEA Grapalat"/>
          <w:iCs/>
          <w:color w:val="000000"/>
          <w:lang w:val="en-US"/>
        </w:rPr>
        <w:t>արհեստագործական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) </w:t>
      </w:r>
      <w:proofErr w:type="spellStart"/>
      <w:r>
        <w:rPr>
          <w:rFonts w:ascii="GHEA Grapalat" w:hAnsi="GHEA Grapalat"/>
          <w:iCs/>
          <w:color w:val="000000"/>
          <w:lang w:val="en-US"/>
        </w:rPr>
        <w:t>կրթական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ծրագրով</w:t>
      </w:r>
      <w:proofErr w:type="spellEnd"/>
    </w:p>
    <w:tbl>
      <w:tblPr>
        <w:tblW w:w="106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8"/>
        <w:gridCol w:w="1327"/>
        <w:gridCol w:w="1083"/>
      </w:tblGrid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Style w:val="Strong"/>
                <w:rFonts w:ascii="GHEA Grapalat" w:hAnsi="GHEA Grapalat" w:cs="Sylfaen"/>
                <w:spacing w:val="-8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</w:pPr>
            <w:r w:rsidRPr="005414AE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2019/2020</w:t>
            </w:r>
          </w:p>
        </w:tc>
        <w:tc>
          <w:tcPr>
            <w:tcW w:w="1071" w:type="dxa"/>
            <w:vAlign w:val="center"/>
          </w:tcPr>
          <w:p w:rsidR="003C25BF" w:rsidRPr="005414AE" w:rsidRDefault="003C25BF" w:rsidP="00424228">
            <w:pPr>
              <w:pStyle w:val="NormalWeb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spacing w:val="-8"/>
                <w:szCs w:val="24"/>
                <w:lang w:val="en-GB"/>
              </w:rPr>
              <w:t>2020/2021</w:t>
            </w:r>
          </w:p>
        </w:tc>
      </w:tr>
      <w:tr w:rsidR="003C25BF" w:rsidRPr="005414AE" w:rsidTr="00424228">
        <w:trPr>
          <w:trHeight w:val="60"/>
          <w:tblCellSpacing w:w="0" w:type="dxa"/>
          <w:jc w:val="center"/>
        </w:trPr>
        <w:tc>
          <w:tcPr>
            <w:tcW w:w="8210" w:type="dxa"/>
            <w:vAlign w:val="bottom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Cs w:val="24"/>
              </w:rPr>
              <w:t>02</w:t>
            </w:r>
            <w:r w:rsidRPr="005414AE">
              <w:rPr>
                <w:rFonts w:ascii="GHEA Grapalat" w:hAnsi="GHEA Grapalat"/>
                <w:b/>
                <w:bCs/>
                <w:color w:val="000000"/>
                <w:szCs w:val="24"/>
                <w:lang w:val="en-US"/>
              </w:rPr>
              <w:t>.</w:t>
            </w:r>
            <w:r w:rsidRPr="005414AE">
              <w:rPr>
                <w:rFonts w:ascii="GHEA Grapalat" w:hAnsi="GHEA Grapalat"/>
                <w:b/>
                <w:bCs/>
                <w:color w:val="000000"/>
                <w:szCs w:val="24"/>
              </w:rPr>
              <w:t xml:space="preserve"> Արվեստ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Գեղանկարչություն և քանդակագործություն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Բրուտագործություն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Գորգագործություն և ժանյակագործություն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97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3C25B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06.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ՏԵՂԵԿԱՏՎՈՒԹՅՈՒՆ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ԵՎ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ՀԱՂՈՐԴԱԿՑՄԱՆ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ՏԵԽՆՈԼՈԳԻԱՆԵՐ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ՏՀՏ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1" w:type="dxa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Համակարգիչների շահագործում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264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07.  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Ճարտարագիտություն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արդյունաբերություն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շինարարություն</w:t>
            </w:r>
          </w:p>
        </w:tc>
        <w:tc>
          <w:tcPr>
            <w:tcW w:w="1071" w:type="dxa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Կարի արտադրության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433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Հրուշակեղենի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մեխանիկական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մշակում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հաստոցների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գծերի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Յուղի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պանրի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կաթի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85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bottom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150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մեխանիզմների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37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68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Ճանապարհաշինարարական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բարելավման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Տեխնոլոգիական սարքավորումների, խողովակատարների և մետաղական կառույցների մոնտաժում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08.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Գյուղատնտեսություն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անասնաբուժություն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անտառային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ձկնային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1" w:type="dxa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10.   Սպասարկում (ծառայություններ)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Խոհարարական գործ     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740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Տրանսպորտային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450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141</w:t>
            </w:r>
          </w:p>
        </w:tc>
      </w:tr>
    </w:tbl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</w:p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  <w:r>
        <w:rPr>
          <w:rFonts w:ascii="GHEA Grapalat" w:hAnsi="GHEA Grapalat"/>
          <w:iCs/>
          <w:color w:val="000000"/>
          <w:lang w:val="en-US"/>
        </w:rPr>
        <w:t xml:space="preserve">2. </w:t>
      </w:r>
      <w:proofErr w:type="spellStart"/>
      <w:r>
        <w:rPr>
          <w:rFonts w:ascii="GHEA Grapalat" w:hAnsi="GHEA Grapalat"/>
          <w:iCs/>
          <w:color w:val="000000"/>
          <w:lang w:val="en-US"/>
        </w:rPr>
        <w:t>Միջին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մասնագիտական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կրթական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ծրագրով</w:t>
      </w:r>
      <w:proofErr w:type="spellEnd"/>
      <w:r>
        <w:rPr>
          <w:rFonts w:ascii="GHEA Grapalat" w:hAnsi="GHEA Grapalat"/>
          <w:iCs/>
          <w:color w:val="000000"/>
          <w:lang w:val="en-US"/>
        </w:rPr>
        <w:t>.</w:t>
      </w:r>
    </w:p>
    <w:tbl>
      <w:tblPr>
        <w:tblW w:w="106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84"/>
        <w:gridCol w:w="1387"/>
        <w:gridCol w:w="1370"/>
      </w:tblGrid>
      <w:tr w:rsidR="003C25BF" w:rsidRPr="005414AE" w:rsidTr="00424228">
        <w:trPr>
          <w:trHeight w:val="43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Պետական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լիազորված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մարմնի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մասնագիտության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և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ոլորտի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անվանումը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5414AE">
              <w:rPr>
                <w:rFonts w:ascii="GHEA Grapalat" w:hAnsi="GHEA Grapalat" w:cs="Sylfaen"/>
                <w:szCs w:val="24"/>
              </w:rPr>
              <w:t>Տեղերի թիվ</w:t>
            </w:r>
            <w:r w:rsidRPr="005414AE">
              <w:rPr>
                <w:rFonts w:ascii="GHEA Grapalat" w:hAnsi="GHEA Grapalat" w:cs="Sylfaen"/>
                <w:szCs w:val="24"/>
                <w:lang w:val="en-US"/>
              </w:rPr>
              <w:t>ը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  <w:vAlign w:val="center"/>
          </w:tcPr>
          <w:p w:rsidR="003C25BF" w:rsidRPr="003C25BF" w:rsidRDefault="003C25BF" w:rsidP="0042422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Հայաստանի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Հանրապետության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կրթության</w:t>
            </w:r>
            <w:r w:rsidRPr="003C25BF">
              <w:rPr>
                <w:rStyle w:val="Strong"/>
                <w:rFonts w:ascii="GHEA Grapalat" w:hAnsi="GHEA Grapalat" w:cs="Sylfaen"/>
                <w:szCs w:val="24"/>
              </w:rPr>
              <w:t>,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գիտության</w:t>
            </w:r>
            <w:r w:rsidRPr="003C25BF">
              <w:rPr>
                <w:rStyle w:val="Strong"/>
                <w:rFonts w:ascii="GHEA Grapalat" w:hAnsi="GHEA Grapalat" w:cs="Sylfaen"/>
                <w:szCs w:val="24"/>
              </w:rPr>
              <w:t xml:space="preserve">, </w:t>
            </w:r>
            <w:proofErr w:type="spellStart"/>
            <w:r w:rsidRPr="005414AE">
              <w:rPr>
                <w:rStyle w:val="Strong"/>
                <w:rFonts w:ascii="GHEA Grapalat" w:hAnsi="GHEA Grapalat" w:cs="Sylfaen"/>
                <w:szCs w:val="24"/>
                <w:lang w:val="en-US"/>
              </w:rPr>
              <w:t>մշակույթի</w:t>
            </w:r>
            <w:proofErr w:type="spellEnd"/>
            <w:r w:rsidRPr="003C25BF">
              <w:rPr>
                <w:rStyle w:val="Strong"/>
                <w:rFonts w:ascii="GHEA Grapalat" w:hAnsi="GHEA Grapalat" w:cs="Sylfaen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  <w:lang w:val="en-US"/>
              </w:rPr>
              <w:t>և</w:t>
            </w:r>
            <w:r w:rsidRPr="003C25BF">
              <w:rPr>
                <w:rStyle w:val="Strong"/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 w:rsidRPr="005414AE">
              <w:rPr>
                <w:rStyle w:val="Strong"/>
                <w:rFonts w:ascii="GHEA Grapalat" w:hAnsi="GHEA Grapalat" w:cs="Sylfaen"/>
                <w:szCs w:val="24"/>
                <w:lang w:val="en-US"/>
              </w:rPr>
              <w:t>սպորտի</w:t>
            </w:r>
            <w:proofErr w:type="spellEnd"/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նախարարություն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szCs w:val="24"/>
                <w:lang w:val="en-GB"/>
              </w:rPr>
              <w:t>2019/2020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szCs w:val="24"/>
                <w:lang w:val="en-GB"/>
              </w:rPr>
              <w:t>2020/2021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01.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Կրթություն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Նախադպրոցական կրթություն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184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Cs w:val="24"/>
              </w:rPr>
              <w:t xml:space="preserve"> 0</w:t>
            </w:r>
            <w:r w:rsidRPr="005414A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2.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Ա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րվեստ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Ռեժիսուրա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127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 մոդելավորում և նախագծում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131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Արվեստի ստեղծագործությունների վերականգնում, կոնսերվացում և պահպանում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Զարդակիրառական արվեստ և ժողովրդական արհեստներ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24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Երգեցողություն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136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172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Գործիքային կատարողական արվեստ (ըստ գործիքների տեսակների)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03.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Սոցիալական գիտություններ, լրագրություն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 տեղեկատվություն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rHeight w:val="24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Գրադարանային գործ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 04.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  <w:lang w:val="en-US"/>
              </w:rPr>
              <w:t>Գ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ործարարություն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վարչարարություն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>և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իրավունք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Հաշվապահական հաշվառում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337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Մենեջմենթ (կառավարում)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 կազմակերպում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106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132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Հողային ռեսուրսների կառավարում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21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 կազմակերպում հյուրանոցներում և զբոսաշրջային համալիրներում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103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123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Զբոսաշրջային ծառայությունների կազմակերպում՝ օտար լեզվի խորացված իմացությամբ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Ապրանքագիտություն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05.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 w:val="24"/>
                <w:szCs w:val="24"/>
              </w:rPr>
              <w:t>բ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նական գիտություններ, մաթեմատիկա և վիճակագրություն</w:t>
            </w:r>
          </w:p>
        </w:tc>
        <w:tc>
          <w:tcPr>
            <w:tcW w:w="1223" w:type="dxa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3C25BF" w:rsidRPr="005414AE" w:rsidTr="00424228">
        <w:trPr>
          <w:trHeight w:val="51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Շրջակա միջավայրի պահպանում և բնական պաշարների արդյունավետ օգտագործում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24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06.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եղեկատվություն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հաղորդակցման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տեխնոլոգիաներ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3C25BF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(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տհտ</w:t>
            </w:r>
            <w:r w:rsidRPr="003C25BF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)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 տեխնիկայի և ավտոմատացված համակարգերի ծրագրային ապահովում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591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665</w:t>
            </w:r>
          </w:p>
        </w:tc>
      </w:tr>
      <w:tr w:rsidR="003C25BF" w:rsidRPr="005414AE" w:rsidTr="00424228">
        <w:trPr>
          <w:trHeight w:val="278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Համակարգչային գեղարվեստական նախագծում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175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198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07.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  <w:highlight w:val="red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Սառնարանային տնտեսություն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  <w:highlight w:val="red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Ավտոմոբիլային տրանսպորտի տեխնիկական սպասարկում և նորոգում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61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Հացաթխման, մակարոնեղենի և հրուշակեղենի տեխնոլոգիա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Խմորման արտադրության տեխնոլոգիա և գինեգործություն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34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Կաթի և կաթնամթերքի տեխնոլոգիա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76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94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 պատրաստման տեխնոլոգիա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28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Արդյունաբերական և քաղաքացիական շենքերի էլեկտրական սարքավորումների տեղակայում, կարգավորում և շահագործում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12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22</w:t>
            </w:r>
          </w:p>
        </w:tc>
      </w:tr>
      <w:tr w:rsidR="003C25BF" w:rsidRPr="005414AE" w:rsidTr="00424228">
        <w:trPr>
          <w:trHeight w:val="33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08.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գ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յուղատնտեսություն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անասնաբուժություն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անտառային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ձկնային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rHeight w:val="170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Գյուղատնտեսագիտություն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70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44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Հողաշինարարություն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27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Պաշտպանված գրունտի կենսատեխնոլոգիա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24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113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3C25BF" w:rsidRPr="005414AE" w:rsidTr="00424228">
        <w:trPr>
          <w:trHeight w:val="350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3C25BF" w:rsidRPr="005414AE" w:rsidTr="00424228">
        <w:trPr>
          <w:trHeight w:val="350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tabs>
                <w:tab w:val="left" w:pos="765"/>
              </w:tabs>
              <w:ind w:left="241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Բուսաբուծական արտադրանքի պահպանում և վերամշակում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09.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ա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ռողջապահություն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սոցիալական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աշխատանք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Մանկաբարձական գործ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116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 գործ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301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347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Դեղագործություն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212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285</w:t>
            </w:r>
          </w:p>
        </w:tc>
      </w:tr>
      <w:tr w:rsidR="003C25BF" w:rsidRPr="005414AE" w:rsidTr="00424228">
        <w:trPr>
          <w:trHeight w:val="287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b/>
                <w:szCs w:val="24"/>
              </w:rPr>
              <w:t>Ոլորտ</w:t>
            </w:r>
            <w:r w:rsidRPr="005414AE">
              <w:rPr>
                <w:rFonts w:ascii="GHEA Grapalat" w:hAnsi="GHEA Grapalat" w:cs="Sylfaen"/>
                <w:b/>
                <w:szCs w:val="24"/>
                <w:lang w:val="en-GB"/>
              </w:rPr>
              <w:t xml:space="preserve"> </w:t>
            </w:r>
            <w:r w:rsidRPr="005414AE">
              <w:rPr>
                <w:rFonts w:ascii="GHEA Grapalat" w:hAnsi="GHEA Grapalat" w:cs="Sylfaen"/>
                <w:b/>
                <w:bCs/>
                <w:szCs w:val="24"/>
                <w:lang w:val="en-GB"/>
              </w:rPr>
              <w:t xml:space="preserve">10. </w:t>
            </w:r>
            <w:r w:rsidRPr="005414AE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5414AE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178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228</w:t>
            </w:r>
          </w:p>
        </w:tc>
      </w:tr>
    </w:tbl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</w:p>
    <w:p w:rsidR="003C25BF" w:rsidRPr="00BA6105" w:rsidRDefault="003C25BF" w:rsidP="003C25BF">
      <w:pPr>
        <w:shd w:val="clear" w:color="auto" w:fill="FFFFFF"/>
        <w:spacing w:line="360" w:lineRule="auto"/>
        <w:ind w:right="-25" w:firstLine="40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Որոշման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նախագիծը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մշակելիս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հաշվի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է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առնվել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նաև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հանրապետությունում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գործող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ուսումնական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հաստատությունների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աշխատաշուկայի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պահանջարկից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ելնելով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մասնագետների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պատրաստման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հնարավորությունները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լիցենզիա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նյութատեխնիկական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բազա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համապատասխան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մասնագետներ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),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հաստատությունների</w:t>
      </w:r>
      <w:r>
        <w:rPr>
          <w:rFonts w:ascii="GHEA Grapalat" w:hAnsi="GHEA Grapalat"/>
          <w:iCs/>
          <w:color w:val="000000"/>
          <w:sz w:val="24"/>
          <w:szCs w:val="24"/>
          <w:lang w:val="en-US"/>
        </w:rPr>
        <w:t>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հատկացվելիք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ըստ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մասնագիտությունների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տեղերի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մինիմալ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քանակի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ապահովումը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ինչպես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նաև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Pr="00BA610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Հայաստանի Հանրապետությունում տասներկուամյա միջնակարգ կամ նախնական (արհեստագործական) մասնագիտական կամ միջին մասնագիտական կրթությունը պարտադիր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և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անվճար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(</w:t>
      </w:r>
      <w:r w:rsidRPr="00BA6105">
        <w:rPr>
          <w:rFonts w:ascii="GHEA Grapalat" w:hAnsi="GHEA Grapalat"/>
          <w:color w:val="000000"/>
          <w:sz w:val="24"/>
          <w:szCs w:val="24"/>
          <w:lang w:val="hy-AM" w:eastAsia="en-US"/>
        </w:rPr>
        <w:t>մինչև սովորողի 19 տարին լրանալը, եթե այդ իրավունքը չի իրացվել ավելի վաղ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)</w:t>
      </w:r>
      <w:r w:rsidRPr="00BA610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լինել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ու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հանգամանքը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: 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71622A">
        <w:rPr>
          <w:rFonts w:ascii="GHEA Grapalat" w:hAnsi="GHEA Grapalat" w:cs="Sylfaen"/>
          <w:lang w:val="hy-AM"/>
        </w:rPr>
        <w:t xml:space="preserve">Հաշվի առնելով վերոգրյալը և այն հանգամանքը, որ ՀՀ մարզերում ապրում են սոցիալապես ավելի անապահով խավ` առաջնայինը անվճար ուսուցման տեղերը հատկացվելու են ՀՀ մարզերում գործող </w:t>
      </w:r>
      <w:r w:rsidRPr="00606A2A">
        <w:rPr>
          <w:rFonts w:ascii="GHEA Grapalat" w:hAnsi="GHEA Grapalat" w:cs="Sylfaen"/>
          <w:lang w:val="hy-AM"/>
        </w:rPr>
        <w:t>նախնական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Sylfaen"/>
          <w:lang w:val="pt-BR"/>
        </w:rPr>
        <w:t xml:space="preserve"> (</w:t>
      </w:r>
      <w:r w:rsidRPr="00606A2A">
        <w:rPr>
          <w:rFonts w:ascii="GHEA Grapalat" w:hAnsi="GHEA Grapalat" w:cs="Sylfaen"/>
          <w:lang w:val="hy-AM"/>
        </w:rPr>
        <w:t>արհեստագործական</w:t>
      </w:r>
      <w:r w:rsidRPr="00606A2A">
        <w:rPr>
          <w:rFonts w:ascii="GHEA Grapalat" w:hAnsi="GHEA Grapalat" w:cs="Sylfaen"/>
          <w:lang w:val="pt-BR"/>
        </w:rPr>
        <w:t xml:space="preserve">) </w:t>
      </w:r>
      <w:r w:rsidRPr="00606A2A">
        <w:rPr>
          <w:rFonts w:ascii="GHEA Grapalat" w:hAnsi="GHEA Grapalat" w:cs="Sylfaen"/>
          <w:lang w:val="hy-AM"/>
        </w:rPr>
        <w:t>և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միջին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Arial"/>
          <w:lang w:val="hy-AM"/>
        </w:rPr>
        <w:t xml:space="preserve"> ուսումնական հաստատությունների</w:t>
      </w:r>
      <w:r w:rsidRPr="0071622A">
        <w:rPr>
          <w:rFonts w:ascii="GHEA Grapalat" w:hAnsi="GHEA Grapalat" w:cs="Arial"/>
          <w:lang w:val="hy-AM"/>
        </w:rPr>
        <w:t>ն և ներկայումս մարզերում գործող ուսումնական հաստատությունների ուսանողների շուրջ 97% ուսումնառում է անվճար ուսուցման համակարգում: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color w:val="000000"/>
          <w:lang w:val="hy-AM"/>
        </w:rPr>
      </w:pPr>
      <w:r w:rsidRPr="0071622A">
        <w:rPr>
          <w:rFonts w:ascii="GHEA Grapalat" w:hAnsi="GHEA Grapalat" w:cs="Arial"/>
          <w:lang w:val="hy-AM"/>
        </w:rPr>
        <w:t xml:space="preserve">ՀՀ օրենսդրությամբ սահմանաված արտոնություն ունեցող դիմորդները </w:t>
      </w:r>
      <w:r w:rsidRPr="00606A2A">
        <w:rPr>
          <w:rFonts w:ascii="GHEA Grapalat" w:hAnsi="GHEA Grapalat" w:cs="Sylfaen"/>
          <w:lang w:val="hy-AM"/>
        </w:rPr>
        <w:t>միջին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Arial"/>
          <w:lang w:val="hy-AM"/>
        </w:rPr>
        <w:t xml:space="preserve"> ուսումնական հաստատություններ</w:t>
      </w:r>
      <w:r w:rsidRPr="0071622A">
        <w:rPr>
          <w:rFonts w:ascii="GHEA Grapalat" w:hAnsi="GHEA Grapalat" w:cs="Arial"/>
          <w:lang w:val="hy-AM"/>
        </w:rPr>
        <w:t xml:space="preserve"> են ընդունվում մրցույթից դուրս պահուստային տեղերի հաշվին, որի նպատակով 2020/2021 ուսումնական տարվա համար նախատեսվել է 316 պահուստային տեղ, որը հատկացվում է ուսումնական հաստատություններին ըստ </w:t>
      </w:r>
      <w:r w:rsidRPr="0071622A">
        <w:rPr>
          <w:rFonts w:ascii="GHEA Grapalat" w:hAnsi="GHEA Grapalat" w:cs="Arial"/>
          <w:lang w:val="hy-AM"/>
        </w:rPr>
        <w:lastRenderedPageBreak/>
        <w:t xml:space="preserve">մասնագիտությունների և արտոնություն ունեցող դիմորդների` գործերի ընդունելության ավարտից հետո, նախարարություն ներկայացված համապատասխան գրությունների հիման վրա: Յուրաքանչյուր ուսումնական տարի թիվը փոփոխվում է և խնդիրներ չառաջանալու պայմանով նախարարությունը որոշակի ավել տեղ է նախատեսում` նախորդ տարվա համեմատ: Նախնական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Sylfaen"/>
          <w:lang w:val="pt-BR"/>
        </w:rPr>
        <w:t xml:space="preserve"> (</w:t>
      </w:r>
      <w:r w:rsidRPr="00606A2A">
        <w:rPr>
          <w:rFonts w:ascii="GHEA Grapalat" w:hAnsi="GHEA Grapalat" w:cs="Sylfaen"/>
          <w:lang w:val="hy-AM"/>
        </w:rPr>
        <w:t>արհեստագործական</w:t>
      </w:r>
      <w:r w:rsidRPr="00606A2A">
        <w:rPr>
          <w:rFonts w:ascii="GHEA Grapalat" w:hAnsi="GHEA Grapalat" w:cs="Sylfaen"/>
          <w:lang w:val="pt-BR"/>
        </w:rPr>
        <w:t xml:space="preserve">) </w:t>
      </w:r>
      <w:r>
        <w:rPr>
          <w:rFonts w:ascii="GHEA Grapalat" w:hAnsi="GHEA Grapalat" w:cs="Sylfaen"/>
          <w:lang w:val="pt-BR"/>
        </w:rPr>
        <w:t xml:space="preserve">կրթական ծրագրով նախատեսված պահուստային տեղերից նախատեսվում է տրամադրել նոր փորձարարական կարգով ներդրվող մասնագիտություններին, </w:t>
      </w:r>
      <w:r w:rsidRPr="007D606D">
        <w:rPr>
          <w:rFonts w:ascii="GHEA Grapalat" w:hAnsi="GHEA Grapalat" w:cs="Sylfaen"/>
          <w:lang w:val="pt-BR"/>
        </w:rPr>
        <w:t>մասնավորապես` «</w:t>
      </w:r>
      <w:r w:rsidRPr="0071622A">
        <w:rPr>
          <w:rFonts w:ascii="GHEA Grapalat" w:hAnsi="GHEA Grapalat"/>
          <w:color w:val="000000"/>
          <w:szCs w:val="24"/>
          <w:lang w:val="hy-AM"/>
        </w:rPr>
        <w:t>Վերականգնվող էներգիայի էներգետիկ կայանների մոնտաժում, նորոգում և սպասարկում» մասնագիտությանը: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71622A">
        <w:rPr>
          <w:rFonts w:ascii="GHEA Grapalat" w:hAnsi="GHEA Grapalat" w:cs="Arial"/>
          <w:lang w:val="hy-AM"/>
        </w:rPr>
        <w:t>Պահուստային տեղերի ավելացման դեպքում, որոշակի տեղեր հատկացվում է նաև պետության համար գերակա հանդիսացող այն մասնագիտություններով, որոնցով առկա են եղել հատկացված տեղերից ավել դիմորդներ և մրցույթով դուրս են մնացել: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3C25BF" w:rsidRPr="00A92C9F" w:rsidRDefault="003C25BF" w:rsidP="003C25BF">
      <w:pPr>
        <w:numPr>
          <w:ilvl w:val="0"/>
          <w:numId w:val="2"/>
        </w:numPr>
        <w:tabs>
          <w:tab w:val="num" w:pos="600"/>
          <w:tab w:val="left" w:pos="700"/>
          <w:tab w:val="left" w:pos="1200"/>
          <w:tab w:val="left" w:pos="10500"/>
        </w:tabs>
        <w:spacing w:after="0"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</w:rPr>
      </w:pPr>
      <w:r w:rsidRPr="00A92C9F">
        <w:rPr>
          <w:rFonts w:ascii="GHEA Grapalat" w:hAnsi="GHEA Grapalat"/>
          <w:b/>
          <w:sz w:val="24"/>
          <w:szCs w:val="24"/>
        </w:rPr>
        <w:t>Կարգավորման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նպատակը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և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բնույթը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ՀՀ կառավարության կողմից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  <w:lang w:val="en-US"/>
        </w:rPr>
        <w:t>լրիվ</w:t>
      </w:r>
      <w:proofErr w:type="spellEnd"/>
      <w:r w:rsidRPr="003C25BF">
        <w:rPr>
          <w:rFonts w:ascii="GHEA Grapalat" w:hAnsi="GHEA Grapalat"/>
          <w:sz w:val="24"/>
          <w:szCs w:val="24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տեղերի հատկացումը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նպատակ ունի խրախուսել բարձր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առաջադիմություն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A92C9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  <w:lang w:val="en-US"/>
        </w:rPr>
        <w:t>դիմորդներին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, ինչպես նաև պատրաստել մասնագետներ</w:t>
      </w:r>
      <w:r w:rsidRPr="00A92C9F">
        <w:rPr>
          <w:rFonts w:ascii="GHEA Grapalat" w:hAnsi="GHEA Grapalat" w:cs="Sylfaen"/>
          <w:sz w:val="24"/>
          <w:szCs w:val="24"/>
        </w:rPr>
        <w:t>`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ելնելով ՀՀ աշխատաշուկայի պահանջներից</w:t>
      </w:r>
      <w:r w:rsidRPr="003C25BF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ապահովել</w:t>
      </w:r>
      <w:proofErr w:type="spellEnd"/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միջնակարգ</w:t>
      </w:r>
      <w:proofErr w:type="spellEnd"/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կրթությունը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</w:rPr>
      </w:pP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lastRenderedPageBreak/>
        <w:t>5. Նախագծի մշակման գործընթացում ներգրավված ինստիտուտները և անձինք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 xml:space="preserve">Սույն որոշման նախագծի մշակման գործընթացին ներգրավված են եղել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գերատեսչությունները, գործատուններին ներկայացնող կազմակերպությունները, քաղաքապետարանը, մարզպետարանները և պետական ուսումնական հաստատությունները, որոնց  հայտերի հիման վրա մշակվել է ՀՀ կառավարության որոշման նախագիծը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>Սույն որոշման ընդունումը հնարավորություն կընձեռի ուսումնական հաստատություններում մրցութային կարգով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լրիվ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տեղերում ընդունել բարձր առաջադիմություն ունեցող դիմորդներին և պատրաստել աշխատաշուկայում պահանջարկ ունեցող մասնագետներ: </w:t>
      </w:r>
    </w:p>
    <w:p w:rsidR="003C25BF" w:rsidRPr="0071622A" w:rsidRDefault="003C25BF" w:rsidP="003C25B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A6FC7" w:rsidRDefault="007A6FC7" w:rsidP="007A6FC7">
      <w:pPr>
        <w:spacing w:line="360" w:lineRule="auto"/>
        <w:ind w:left="500" w:right="55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7A6FC7" w:rsidRDefault="007A6FC7" w:rsidP="007A6FC7">
      <w:pPr>
        <w:ind w:left="500" w:right="55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«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և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/>
          <w:sz w:val="24"/>
          <w:szCs w:val="24"/>
          <w:lang w:val="af-ZA"/>
        </w:rPr>
        <w:t>20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/202</w:t>
      </w:r>
      <w:r>
        <w:rPr>
          <w:rFonts w:ascii="GHEA Grapalat" w:hAnsi="GHEA Grapalat"/>
          <w:b/>
          <w:sz w:val="24"/>
          <w:szCs w:val="24"/>
          <w:lang w:val="af-ZA"/>
        </w:rPr>
        <w:t>1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947CBA">
        <w:rPr>
          <w:rFonts w:ascii="GHEA Grapalat" w:hAnsi="GHEA Grapalat"/>
          <w:b/>
          <w:sz w:val="24"/>
          <w:szCs w:val="24"/>
          <w:lang w:val="fr-FR"/>
        </w:rPr>
        <w:t>)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»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7A6FC7" w:rsidRDefault="007A6FC7" w:rsidP="007A6FC7">
      <w:pPr>
        <w:spacing w:line="360" w:lineRule="auto"/>
        <w:ind w:left="500" w:right="55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A6FC7" w:rsidRDefault="007A6FC7" w:rsidP="007A6FC7">
      <w:pPr>
        <w:spacing w:line="360" w:lineRule="auto"/>
        <w:ind w:left="500" w:right="550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1622A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71622A">
        <w:rPr>
          <w:rFonts w:ascii="GHEA Grapalat" w:hAnsi="GHEA Grapalat"/>
          <w:sz w:val="24"/>
          <w:szCs w:val="24"/>
          <w:lang w:val="hy-AM"/>
        </w:rPr>
        <w:t>Հայաստանի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71622A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71622A">
        <w:rPr>
          <w:rFonts w:ascii="GHEA Grapalat" w:hAnsi="GHEA Grapalat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20/2021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ուսուցման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1622A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մասին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3C25BF" w:rsidRPr="0071622A" w:rsidRDefault="003C25BF" w:rsidP="003C25B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B2D95" w:rsidRPr="003C25BF" w:rsidRDefault="006B2D95">
      <w:pPr>
        <w:rPr>
          <w:lang w:val="hy-AM"/>
        </w:rPr>
      </w:pPr>
    </w:p>
    <w:sectPr w:rsidR="006B2D95" w:rsidRPr="003C25BF" w:rsidSect="002F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5BF"/>
    <w:rsid w:val="002F3DC0"/>
    <w:rsid w:val="003C25BF"/>
    <w:rsid w:val="006B2D95"/>
    <w:rsid w:val="007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3C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3C25BF"/>
    <w:rPr>
      <w:rFonts w:cs="Times New Roman"/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3C25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2020-04-02T07:44:00Z</dcterms:created>
  <dcterms:modified xsi:type="dcterms:W3CDTF">2020-04-02T08:01:00Z</dcterms:modified>
</cp:coreProperties>
</file>