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48" w:rsidRPr="00AA42EF" w:rsidRDefault="00206D42" w:rsidP="00726B12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AA42EF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06D42" w:rsidRPr="00AA42EF" w:rsidRDefault="00206D42" w:rsidP="00726B12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42EF">
        <w:rPr>
          <w:rFonts w:ascii="GHEA Grapalat" w:hAnsi="GHEA Grapalat" w:cs="Sylfaen"/>
          <w:b/>
          <w:sz w:val="24"/>
          <w:szCs w:val="24"/>
          <w:lang w:val="hy-AM"/>
        </w:rPr>
        <w:t>«ՀԱՅԱՍՏԱՆԻ</w:t>
      </w:r>
      <w:r w:rsidRPr="00AA42EF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ԿԱՌԱՎԱՐՈՒԹՅԱՆ 2011 ԹՎԱԿԱՆԻ ԴԵԿՏԵՄԲԵՐԻ 29-Ի N 1925-Ն ՈՐՈՇՄԱՆ ՄԵՋ ՓՈՓՈԽՈՒԹՅՈՒՆՆԵՐ ԿԱՏԱՐԵԼՈՒ ՄԱՍԻՆ» </w:t>
      </w:r>
      <w:r w:rsidR="00726B12" w:rsidRPr="00AA42EF">
        <w:rPr>
          <w:rFonts w:ascii="GHEA Grapalat" w:hAnsi="GHEA Grapalat"/>
          <w:b/>
          <w:sz w:val="24"/>
          <w:szCs w:val="24"/>
          <w:lang w:val="hy-AM"/>
        </w:rPr>
        <w:t xml:space="preserve">ԿԱՌԱՎԱՐՈՒԹՅԱՆ </w:t>
      </w:r>
      <w:r w:rsidRPr="00AA42EF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</w:p>
    <w:p w:rsidR="00206D42" w:rsidRPr="00AA42EF" w:rsidRDefault="00206D42" w:rsidP="00726B12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06D42" w:rsidRPr="00AA42EF" w:rsidRDefault="00206D42" w:rsidP="00726B12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06D42" w:rsidRPr="00AA42EF" w:rsidRDefault="00206D42" w:rsidP="00726B12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42EF">
        <w:rPr>
          <w:rFonts w:ascii="GHEA Grapalat" w:hAnsi="GHEA Grapalat" w:cs="Sylfaen"/>
          <w:b/>
          <w:sz w:val="24"/>
          <w:szCs w:val="24"/>
          <w:lang w:val="hy-AM"/>
        </w:rPr>
        <w:t>Կարգավորման ենթակա ոլորտի կամ խնդրի սահմանումը</w:t>
      </w:r>
    </w:p>
    <w:p w:rsidR="00206D42" w:rsidRPr="00AA42EF" w:rsidRDefault="00206D42" w:rsidP="00726B12">
      <w:pPr>
        <w:spacing w:after="0"/>
        <w:ind w:lef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AA42EF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2011 թվականի դեկտեմբերի 29-ի N 1925-Ն որոշման մեջ փոփոխություններ կատարելու մասին</w:t>
      </w:r>
      <w:r w:rsidRPr="00AA42EF">
        <w:rPr>
          <w:rFonts w:ascii="GHEA Grapalat" w:hAnsi="GHEA Grapalat"/>
          <w:sz w:val="24"/>
          <w:szCs w:val="24"/>
          <w:lang w:val="hy-AM"/>
        </w:rPr>
        <w:t>»</w:t>
      </w:r>
      <w:r w:rsidR="00726B12" w:rsidRPr="00AA42EF">
        <w:rPr>
          <w:rFonts w:ascii="GHEA Grapalat" w:hAnsi="GHEA Grapalat"/>
          <w:sz w:val="24"/>
          <w:szCs w:val="24"/>
          <w:lang w:val="hy-AM"/>
        </w:rPr>
        <w:t xml:space="preserve"> Կառավարության </w:t>
      </w:r>
      <w:r w:rsidRPr="00AA42EF">
        <w:rPr>
          <w:rFonts w:ascii="GHEA Grapalat" w:hAnsi="GHEA Grapalat"/>
          <w:sz w:val="24"/>
          <w:szCs w:val="24"/>
          <w:lang w:val="hy-AM"/>
        </w:rPr>
        <w:t xml:space="preserve"> որոշման  նախագծի (այսուհետ նաև՝ Նախագիծ) մշակման անհրաժեշտությունը բխում է </w:t>
      </w:r>
      <w:r w:rsidR="00AA42EF" w:rsidRPr="00AA42EF">
        <w:rPr>
          <w:rFonts w:ascii="GHEA Grapalat" w:hAnsi="GHEA Grapalat"/>
          <w:sz w:val="24"/>
          <w:szCs w:val="24"/>
          <w:lang w:val="hy-AM"/>
        </w:rPr>
        <w:t>շրջակա միջավայրի պահպանության/</w:t>
      </w:r>
      <w:r w:rsidR="00593D3B" w:rsidRPr="00AA42EF">
        <w:rPr>
          <w:rFonts w:ascii="GHEA Grapalat" w:hAnsi="GHEA Grapalat"/>
          <w:sz w:val="24"/>
          <w:szCs w:val="24"/>
          <w:lang w:val="hy-AM"/>
        </w:rPr>
        <w:t>բնապահպանության</w:t>
      </w:r>
      <w:r w:rsidR="00AA42EF" w:rsidRPr="00AA42EF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93D3B" w:rsidRPr="00AA42EF">
        <w:rPr>
          <w:rFonts w:ascii="GHEA Grapalat" w:hAnsi="GHEA Grapalat"/>
          <w:sz w:val="24"/>
          <w:szCs w:val="24"/>
          <w:lang w:val="hy-AM"/>
        </w:rPr>
        <w:t xml:space="preserve"> հրդեհային անվտագության</w:t>
      </w:r>
      <w:r w:rsidRPr="00AA42E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D3B" w:rsidRPr="00AA42EF">
        <w:rPr>
          <w:rFonts w:ascii="GHEA Grapalat" w:hAnsi="GHEA Grapalat"/>
          <w:sz w:val="24"/>
          <w:szCs w:val="24"/>
          <w:lang w:val="hy-AM"/>
        </w:rPr>
        <w:t>ոլորտներում</w:t>
      </w:r>
      <w:r w:rsidR="00AA42EF" w:rsidRPr="00AA42EF">
        <w:rPr>
          <w:rFonts w:ascii="GHEA Grapalat" w:hAnsi="GHEA Grapalat"/>
          <w:sz w:val="24"/>
          <w:szCs w:val="24"/>
          <w:lang w:val="hy-AM"/>
        </w:rPr>
        <w:t xml:space="preserve"> առավել մեծ կարևորություն և ռիսկայնություն ունեցող տնտեսավարողների</w:t>
      </w:r>
      <w:r w:rsidR="00593D3B" w:rsidRPr="00AA42EF">
        <w:rPr>
          <w:rFonts w:ascii="GHEA Grapalat" w:hAnsi="GHEA Grapalat"/>
          <w:sz w:val="24"/>
          <w:szCs w:val="24"/>
          <w:lang w:val="hy-AM"/>
        </w:rPr>
        <w:t xml:space="preserve"> </w:t>
      </w:r>
      <w:r w:rsidR="00AA42EF" w:rsidRPr="00AA42EF">
        <w:rPr>
          <w:rFonts w:ascii="GHEA Grapalat" w:hAnsi="GHEA Grapalat"/>
          <w:sz w:val="24"/>
          <w:szCs w:val="24"/>
          <w:lang w:val="hy-AM"/>
        </w:rPr>
        <w:t>շրջանակում</w:t>
      </w:r>
      <w:r w:rsidRPr="00AA42EF">
        <w:rPr>
          <w:rFonts w:ascii="GHEA Grapalat" w:hAnsi="GHEA Grapalat"/>
          <w:sz w:val="24"/>
          <w:szCs w:val="24"/>
          <w:lang w:val="hy-AM"/>
        </w:rPr>
        <w:t xml:space="preserve"> անվտանգության </w:t>
      </w:r>
      <w:r w:rsidR="00AA42EF" w:rsidRPr="00AA42EF">
        <w:rPr>
          <w:rFonts w:ascii="GHEA Grapalat" w:hAnsi="GHEA Grapalat"/>
          <w:sz w:val="24"/>
          <w:szCs w:val="24"/>
          <w:lang w:val="hy-AM"/>
        </w:rPr>
        <w:t xml:space="preserve">ավելի բարձր մակարդակ </w:t>
      </w:r>
      <w:r w:rsidRPr="00AA42EF">
        <w:rPr>
          <w:rFonts w:ascii="GHEA Grapalat" w:hAnsi="GHEA Grapalat"/>
          <w:sz w:val="24"/>
          <w:szCs w:val="24"/>
          <w:lang w:val="hy-AM"/>
        </w:rPr>
        <w:t>ապահով</w:t>
      </w:r>
      <w:r w:rsidR="00AA42EF" w:rsidRPr="00AA42EF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Pr="00AA42EF">
        <w:rPr>
          <w:rFonts w:ascii="GHEA Grapalat" w:hAnsi="GHEA Grapalat"/>
          <w:sz w:val="24"/>
          <w:szCs w:val="24"/>
          <w:lang w:val="hy-AM"/>
        </w:rPr>
        <w:t xml:space="preserve">անհրաժեշտությունից: </w:t>
      </w:r>
      <w:r w:rsidR="005F3916" w:rsidRPr="00AA42E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06D42" w:rsidRPr="00AA42EF" w:rsidRDefault="00206D42" w:rsidP="00726B1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93D3B" w:rsidRPr="00AA42EF" w:rsidRDefault="00206D42" w:rsidP="00726B1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A42EF">
        <w:rPr>
          <w:rFonts w:ascii="GHEA Grapalat" w:hAnsi="GHEA Grapalat"/>
          <w:b/>
          <w:sz w:val="24"/>
          <w:szCs w:val="24"/>
          <w:lang w:val="hy-AM"/>
        </w:rPr>
        <w:t>Ընթացիկ վիճակը</w:t>
      </w:r>
    </w:p>
    <w:p w:rsidR="002E230C" w:rsidRPr="00AA42EF" w:rsidRDefault="002E230C" w:rsidP="00726B12">
      <w:pPr>
        <w:pStyle w:val="NormalWeb"/>
        <w:spacing w:before="0" w:beforeAutospacing="0" w:after="0" w:afterAutospacing="0" w:line="276" w:lineRule="auto"/>
        <w:ind w:left="-540"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2018 </w:t>
      </w:r>
      <w:r w:rsidR="005F3916" w:rsidRPr="00AA42EF">
        <w:rPr>
          <w:rFonts w:ascii="GHEA Grapalat" w:hAnsi="GHEA Grapalat"/>
          <w:color w:val="000000"/>
          <w:shd w:val="clear" w:color="auto" w:fill="FFFFFF"/>
          <w:lang w:val="hy-AM"/>
        </w:rPr>
        <w:t>թվականի մարտի 23-ին ընդունվել է</w:t>
      </w: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 «Պետական կառավարման համակարգի մարմինների մասին» </w:t>
      </w:r>
      <w:r w:rsidR="0087786C"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օրենքը, որի </w:t>
      </w: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4-րդ հոդվածի 2-րդ մասով սահմանվում են տեսչական մարմինները, որոնց թվում է նաև Քաղաքաշինության, տեխնիկական և հրդեհային </w:t>
      </w:r>
      <w:r w:rsidR="0087786C" w:rsidRPr="00AA42EF">
        <w:rPr>
          <w:rFonts w:ascii="GHEA Grapalat" w:hAnsi="GHEA Grapalat"/>
          <w:color w:val="000000"/>
          <w:shd w:val="clear" w:color="auto" w:fill="FFFFFF"/>
          <w:lang w:val="hy-AM"/>
        </w:rPr>
        <w:t>անվտանգության տեսչական մարմինը: «Տեսչական մարմինների մասին» օրենքի 19-րդ հոդվածի 2-րդ մասը սահմանում է, որ տեսչական մարմիններ ստեղծվում են գործադիր իշխանության համա</w:t>
      </w:r>
      <w:r w:rsidR="005F3916"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կարգում գործող վերահսկողություն </w:t>
      </w:r>
      <w:r w:rsidR="0087786C" w:rsidRPr="00AA42EF">
        <w:rPr>
          <w:rFonts w:ascii="GHEA Grapalat" w:hAnsi="GHEA Grapalat"/>
          <w:color w:val="000000"/>
          <w:shd w:val="clear" w:color="auto" w:fill="FFFFFF"/>
          <w:lang w:val="hy-AM"/>
        </w:rPr>
        <w:t>իրականացնող մարմինների կողմից սույն օրենքն ուժի մեջ մտնելու պահին իրականացվող լիազորությունների իրականացման նպատակով:</w:t>
      </w:r>
      <w:r w:rsidR="0087786C" w:rsidRPr="00AA42EF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7786C" w:rsidRPr="00AA42EF">
        <w:rPr>
          <w:rFonts w:ascii="GHEA Grapalat" w:hAnsi="GHEA Grapalat"/>
          <w:color w:val="000000"/>
          <w:shd w:val="clear" w:color="auto" w:fill="FFFFFF"/>
          <w:lang w:val="hy-AM"/>
        </w:rPr>
        <w:t>Քաղաքաշինության, տեխնիկական և հրդեհային անվտանգության տեսչական մարմնի</w:t>
      </w: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 ստեղծումից հետո դադարել են գործել ՀՀ տրանսպորտի նախարարության տրանսպորտային պետական տեսչությունը, ՀՀ էներգետիկ ենթակառուցվածքների և բնական պաշարների նախարարության էներգետիկայի պետական տեսչությունը, ՀՀ արտակարգ իրավիճակների նախարարության պետական հրդեհային և տեխնիկական անվտանգության տեսչությունը, ՀՀ քաղաքաշինության կոմիտեի քաղաքաշինական պետական տեսչությունը, և դրանց կողմից վերահսկվող բնագավառների նկատմամբ վերահսկողություն իրականացնելու իրավասությունը վերապահվել է տեսչական մարմնին: Այդ առումով, անհրաժեշտություն է առաջանում</w:t>
      </w:r>
      <w:r w:rsidR="006836E0"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836E0" w:rsidRPr="00AA42EF">
        <w:rPr>
          <w:rFonts w:ascii="GHEA Grapalat" w:hAnsi="GHEA Grapalat" w:cs="Sylfaen"/>
          <w:lang w:val="hy-AM"/>
        </w:rPr>
        <w:t xml:space="preserve">Հայաստանի </w:t>
      </w:r>
      <w:r w:rsidR="0087786C"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Քաղաքաշինության, տեխնիկական և հրդեհային անվտանգության տեսչական մարմնին վերապահել </w:t>
      </w:r>
      <w:r w:rsidR="006836E0" w:rsidRPr="00AA42EF">
        <w:rPr>
          <w:rFonts w:ascii="GHEA Grapalat" w:hAnsi="GHEA Grapalat" w:cs="Sylfaen"/>
          <w:lang w:val="hy-AM"/>
        </w:rPr>
        <w:t xml:space="preserve">Հանրապետության կառավարության 2011 թվականի դեկտեմբերի 29-ի N </w:t>
      </w:r>
      <w:r w:rsidR="006836E0" w:rsidRPr="00AA42EF">
        <w:rPr>
          <w:rFonts w:ascii="GHEA Grapalat" w:hAnsi="GHEA Grapalat" w:cs="Sylfaen"/>
          <w:lang w:val="hy-AM"/>
        </w:rPr>
        <w:lastRenderedPageBreak/>
        <w:t>1925-Ն որոշմամբ (այսուհետ՝ Որոշում)</w:t>
      </w:r>
      <w:r w:rsidR="006836E0"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F3916"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ՀՀ արտակարգ իրավիճակների նախարարության պետական հրդեհային և տեխնիկական անվտանգության տեսչությանը </w:t>
      </w:r>
      <w:r w:rsidR="006836E0" w:rsidRPr="00AA42EF">
        <w:rPr>
          <w:rFonts w:ascii="GHEA Grapalat" w:hAnsi="GHEA Grapalat"/>
          <w:color w:val="000000"/>
          <w:shd w:val="clear" w:color="auto" w:fill="FFFFFF"/>
          <w:lang w:val="hy-AM"/>
        </w:rPr>
        <w:t>վերապահված լիազորությունները</w:t>
      </w: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6836E0" w:rsidRPr="00AA42EF" w:rsidRDefault="006836E0" w:rsidP="00726B12">
      <w:pPr>
        <w:pStyle w:val="NormalWeb"/>
        <w:spacing w:before="0" w:beforeAutospacing="0" w:after="0" w:afterAutospacing="0" w:line="276" w:lineRule="auto"/>
        <w:ind w:left="-54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Որոշման հավելվածում նախատեսված են տնտեսվարող սուբյեկտներ, որոնք </w:t>
      </w:r>
      <w:r w:rsidR="00134FF1" w:rsidRPr="00AA42EF">
        <w:rPr>
          <w:rFonts w:ascii="GHEA Grapalat" w:hAnsi="GHEA Grapalat"/>
          <w:color w:val="000000"/>
          <w:shd w:val="clear" w:color="auto" w:fill="FFFFFF"/>
          <w:lang w:val="hy-AM"/>
        </w:rPr>
        <w:t>փաստացի գործունեություն չեն իրականացնում</w:t>
      </w:r>
      <w:r w:rsidR="00134E98" w:rsidRPr="00AA42EF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34E98" w:rsidRPr="00AA42EF">
        <w:rPr>
          <w:rFonts w:ascii="GHEA Grapalat" w:hAnsi="GHEA Grapalat"/>
          <w:color w:val="000000"/>
          <w:shd w:val="clear" w:color="auto" w:fill="FFFFFF"/>
          <w:lang w:val="hy-AM"/>
        </w:rPr>
        <w:t>Միևնույն ժամանակ,</w:t>
      </w: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 տնտեսվարող սուբյեկտներ, որոնց գործունեությ</w:t>
      </w:r>
      <w:r w:rsidR="00AA42EF"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ունը </w:t>
      </w: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>հանրության և պետության համար ունեն</w:t>
      </w:r>
      <w:r w:rsidR="00134E98"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 կենսական նշանակություն</w:t>
      </w: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34E98"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կամ </w:t>
      </w:r>
      <w:r w:rsidRPr="00AA42EF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որոնց գործունեությունն առավել ռիսկային է </w:t>
      </w:r>
      <w:r w:rsidRPr="00AA42EF">
        <w:rPr>
          <w:rFonts w:ascii="GHEA Grapalat" w:hAnsi="GHEA Grapalat"/>
          <w:lang w:val="hy-AM"/>
        </w:rPr>
        <w:t xml:space="preserve">մարդու առողջությանը և շրջակա միջավայրին վնաս հասցնելու տեսանկյունից </w:t>
      </w:r>
      <w:r w:rsidR="00134E98" w:rsidRPr="00AA42EF">
        <w:rPr>
          <w:rFonts w:ascii="GHEA Grapalat" w:hAnsi="GHEA Grapalat"/>
          <w:lang w:val="hy-AM"/>
        </w:rPr>
        <w:t>կամ որոնց կողմից (հաշվի առնելով վերջիններիս կողմից իրականացվող գործունեության ազդեցության ծավալները) սահմանված կանոնների խախտումները կարող են հանգեցնել անվերահսկելի հետևանքների</w:t>
      </w:r>
      <w:r w:rsidR="00AA42EF" w:rsidRPr="00AA42EF">
        <w:rPr>
          <w:rFonts w:ascii="GHEA Grapalat" w:hAnsi="GHEA Grapalat"/>
          <w:lang w:val="hy-AM"/>
        </w:rPr>
        <w:t xml:space="preserve"> առավել մեծ թվով մարդկանց շրջանում</w:t>
      </w:r>
      <w:r w:rsidR="00134E98" w:rsidRPr="00AA42EF">
        <w:rPr>
          <w:rFonts w:ascii="GHEA Grapalat" w:hAnsi="GHEA Grapalat"/>
          <w:lang w:val="hy-AM"/>
        </w:rPr>
        <w:t xml:space="preserve">, ներառված չեն այդ հավելվածում: Նման պայմաններում այդ տնտեսվարող սուբյեկտներում ստուգումների տարեկան ծրագրով նախատեսված </w:t>
      </w:r>
      <w:r w:rsidR="00251F42">
        <w:rPr>
          <w:rFonts w:ascii="GHEA Grapalat" w:hAnsi="GHEA Grapalat"/>
          <w:lang w:val="hy-AM"/>
        </w:rPr>
        <w:t>տա</w:t>
      </w:r>
      <w:r w:rsidR="00251F42">
        <w:rPr>
          <w:rFonts w:ascii="GHEA Grapalat" w:hAnsi="GHEA Grapalat"/>
          <w:lang w:val="en-US"/>
        </w:rPr>
        <w:t>րեկա</w:t>
      </w:r>
      <w:r w:rsidR="00AA42EF" w:rsidRPr="00AA42EF">
        <w:rPr>
          <w:rFonts w:ascii="GHEA Grapalat" w:hAnsi="GHEA Grapalat"/>
          <w:lang w:val="hy-AM"/>
        </w:rPr>
        <w:t xml:space="preserve">ն միայն մեկ </w:t>
      </w:r>
      <w:r w:rsidR="00134E98" w:rsidRPr="00AA42EF">
        <w:rPr>
          <w:rFonts w:ascii="GHEA Grapalat" w:hAnsi="GHEA Grapalat"/>
          <w:lang w:val="hy-AM"/>
        </w:rPr>
        <w:t>ստուգ</w:t>
      </w:r>
      <w:r w:rsidR="00AA42EF" w:rsidRPr="00AA42EF">
        <w:rPr>
          <w:rFonts w:ascii="GHEA Grapalat" w:hAnsi="GHEA Grapalat"/>
          <w:lang w:val="hy-AM"/>
        </w:rPr>
        <w:t xml:space="preserve">ման </w:t>
      </w:r>
      <w:r w:rsidR="00134E98" w:rsidRPr="00AA42EF">
        <w:rPr>
          <w:rFonts w:ascii="GHEA Grapalat" w:hAnsi="GHEA Grapalat"/>
          <w:lang w:val="hy-AM"/>
        </w:rPr>
        <w:t>իրականացումը բավարար գործիք չէ այդ այդ տնտեսվարող սուբյեկտների գործունեության ոլորտներում բնակչության</w:t>
      </w:r>
      <w:r w:rsidR="00AB60A7" w:rsidRPr="00AA42EF">
        <w:rPr>
          <w:rFonts w:ascii="GHEA Grapalat" w:hAnsi="GHEA Grapalat"/>
          <w:lang w:val="hy-AM"/>
        </w:rPr>
        <w:t xml:space="preserve"> և շրջակա միջավայրի</w:t>
      </w:r>
      <w:r w:rsidR="00134E98" w:rsidRPr="00AA42EF">
        <w:rPr>
          <w:rFonts w:ascii="GHEA Grapalat" w:hAnsi="GHEA Grapalat"/>
          <w:lang w:val="hy-AM"/>
        </w:rPr>
        <w:t xml:space="preserve"> անվտագության ապահովման տեսանկյունից:</w:t>
      </w:r>
      <w:r w:rsidR="00AA42EF" w:rsidRPr="00AA42EF">
        <w:rPr>
          <w:rFonts w:ascii="GHEA Grapalat" w:hAnsi="GHEA Grapalat"/>
          <w:lang w:val="hy-AM"/>
        </w:rPr>
        <w:t xml:space="preserve"> </w:t>
      </w:r>
    </w:p>
    <w:p w:rsidR="002E230C" w:rsidRPr="00AA42EF" w:rsidRDefault="002E230C" w:rsidP="00726B1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593D3B" w:rsidRPr="00AA42EF" w:rsidRDefault="00593D3B" w:rsidP="00726B1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206D42" w:rsidRPr="00AA42EF" w:rsidRDefault="00206D42" w:rsidP="00726B1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AA42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Կարգավորման նպատակը </w:t>
      </w:r>
    </w:p>
    <w:p w:rsidR="00206D42" w:rsidRPr="00AA42EF" w:rsidRDefault="00726B12" w:rsidP="00726B12">
      <w:pPr>
        <w:pStyle w:val="NormalWeb"/>
        <w:spacing w:before="0" w:beforeAutospacing="0" w:after="0" w:afterAutospacing="0" w:line="276" w:lineRule="auto"/>
        <w:ind w:left="-720" w:firstLine="720"/>
        <w:jc w:val="both"/>
        <w:rPr>
          <w:rFonts w:ascii="GHEA Grapalat" w:hAnsi="GHEA Grapalat" w:cs="Sylfaen"/>
          <w:lang w:val="hy-AM"/>
        </w:rPr>
      </w:pPr>
      <w:r w:rsidRPr="00AA42EF">
        <w:rPr>
          <w:rFonts w:ascii="GHEA Grapalat" w:hAnsi="GHEA Grapalat"/>
          <w:bCs/>
          <w:color w:val="000000"/>
          <w:lang w:val="hy-AM"/>
        </w:rPr>
        <w:t>Նախագծի ընդունման նպատակը</w:t>
      </w:r>
      <w:r w:rsidR="00206D42" w:rsidRPr="00AA42EF">
        <w:rPr>
          <w:rFonts w:ascii="GHEA Grapalat" w:hAnsi="GHEA Grapalat"/>
          <w:bCs/>
          <w:color w:val="000000"/>
          <w:lang w:val="hy-AM"/>
        </w:rPr>
        <w:t xml:space="preserve"> </w:t>
      </w:r>
      <w:r w:rsidR="00AB60A7" w:rsidRPr="00AA42EF">
        <w:rPr>
          <w:rFonts w:ascii="GHEA Grapalat" w:hAnsi="GHEA Grapalat"/>
          <w:bCs/>
          <w:color w:val="000000"/>
          <w:lang w:val="hy-AM"/>
        </w:rPr>
        <w:t xml:space="preserve">գործող օրենսդրությամբ </w:t>
      </w:r>
      <w:r w:rsidR="00AB60A7" w:rsidRPr="00AA42EF">
        <w:rPr>
          <w:rFonts w:ascii="GHEA Grapalat" w:hAnsi="GHEA Grapalat" w:cs="Sylfaen"/>
          <w:lang w:val="hy-AM"/>
        </w:rPr>
        <w:t>վերահսկո</w:t>
      </w:r>
      <w:r w:rsidRPr="00AA42EF">
        <w:rPr>
          <w:rFonts w:ascii="GHEA Grapalat" w:hAnsi="GHEA Grapalat" w:cs="Sylfaen"/>
          <w:lang w:val="hy-AM"/>
        </w:rPr>
        <w:t>ղություն իրականացնող մարմինների հստակեցումը</w:t>
      </w:r>
      <w:r w:rsidR="00AB60A7" w:rsidRPr="00AA42EF">
        <w:rPr>
          <w:rFonts w:ascii="GHEA Grapalat" w:hAnsi="GHEA Grapalat" w:cs="Sylfaen"/>
          <w:lang w:val="hy-AM"/>
        </w:rPr>
        <w:t xml:space="preserve">, ինչպես նաև բնակչության և շրջակա միջավայրի անվտանգության ապահովումն է: </w:t>
      </w:r>
    </w:p>
    <w:p w:rsidR="00693673" w:rsidRPr="00AA42EF" w:rsidRDefault="00693673" w:rsidP="00726B12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206D42" w:rsidRPr="00AA42EF" w:rsidRDefault="00206D42" w:rsidP="00726B12">
      <w:pPr>
        <w:pStyle w:val="NormalWeb"/>
        <w:spacing w:before="0" w:beforeAutospacing="0" w:after="0" w:afterAutospacing="0" w:line="276" w:lineRule="auto"/>
        <w:jc w:val="both"/>
        <w:rPr>
          <w:rFonts w:ascii="GHEA Grapalat" w:eastAsiaTheme="minorEastAsia" w:hAnsi="GHEA Grapalat" w:cstheme="minorBidi"/>
          <w:b/>
          <w:lang w:val="hy-AM"/>
        </w:rPr>
      </w:pPr>
      <w:r w:rsidRPr="00AA42EF">
        <w:rPr>
          <w:rFonts w:ascii="GHEA Grapalat" w:eastAsiaTheme="minorEastAsia" w:hAnsi="GHEA Grapalat" w:cstheme="minorBidi"/>
          <w:b/>
          <w:lang w:val="hy-AM"/>
        </w:rPr>
        <w:t>Ակնկալվող արդյունքը</w:t>
      </w:r>
    </w:p>
    <w:p w:rsidR="00AB60A7" w:rsidRPr="00AA42EF" w:rsidRDefault="00AB60A7" w:rsidP="00726B12">
      <w:pPr>
        <w:pStyle w:val="NormalWeb"/>
        <w:spacing w:before="0" w:beforeAutospacing="0" w:after="0" w:afterAutospacing="0" w:line="276" w:lineRule="auto"/>
        <w:ind w:left="-720" w:firstLine="720"/>
        <w:jc w:val="both"/>
        <w:rPr>
          <w:rFonts w:ascii="GHEA Grapalat" w:hAnsi="GHEA Grapalat"/>
          <w:lang w:val="hy-AM"/>
        </w:rPr>
      </w:pPr>
      <w:r w:rsidRPr="00AA42EF">
        <w:rPr>
          <w:rFonts w:ascii="GHEA Grapalat" w:hAnsi="GHEA Grapalat"/>
          <w:lang w:val="hy-AM"/>
        </w:rPr>
        <w:t xml:space="preserve">Նախագծի ընդունման դեպքում կհստակեցվի այն տնտեսվարող սուբյեկտների շրջանակը, որոնց մոտ բնակչության և շրջակա միջավայրի անվտագության ապահովման </w:t>
      </w:r>
      <w:r w:rsidRPr="00AA42EF">
        <w:rPr>
          <w:rFonts w:ascii="GHEA Grapalat" w:hAnsi="GHEA Grapalat" w:cs="Sylfaen"/>
          <w:lang w:val="hy-AM"/>
        </w:rPr>
        <w:t>անհրաժեշտությամբ պայմանավորված «ՀՀ-ում ստուգումների կազմակերպման և անցկացման մասին» օրենքի 4-րդ հոդվածի 3-րդ մասի 4-րդ պարբերության հիման վրա, բացառության կարգով, ստուգումներ կարող են իրականացվել վեց ամիսը մեկ անգամ</w:t>
      </w:r>
      <w:r w:rsidR="005F3916" w:rsidRPr="00AA42EF">
        <w:rPr>
          <w:rFonts w:ascii="GHEA Grapalat" w:hAnsi="GHEA Grapalat"/>
          <w:lang w:val="hy-AM"/>
        </w:rPr>
        <w:t>, ինչպես նաև ստուգումներն իրականացնող տեսչական մարմինների շրջանակը:</w:t>
      </w:r>
      <w:r w:rsidRPr="00AA42EF">
        <w:rPr>
          <w:rFonts w:ascii="GHEA Grapalat" w:hAnsi="GHEA Grapalat"/>
          <w:lang w:val="hy-AM"/>
        </w:rPr>
        <w:t xml:space="preserve"> </w:t>
      </w:r>
    </w:p>
    <w:p w:rsidR="00206D42" w:rsidRPr="00AA42EF" w:rsidRDefault="00206D42" w:rsidP="00726B12">
      <w:pPr>
        <w:spacing w:after="0"/>
        <w:ind w:left="-72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06D42" w:rsidRPr="00AA42EF" w:rsidRDefault="00206D42" w:rsidP="00726B12">
      <w:pPr>
        <w:pStyle w:val="NormalWeb"/>
        <w:spacing w:before="0" w:beforeAutospacing="0" w:after="0" w:afterAutospacing="0" w:line="276" w:lineRule="auto"/>
        <w:ind w:left="-720" w:firstLine="720"/>
        <w:jc w:val="both"/>
        <w:rPr>
          <w:rFonts w:ascii="GHEA Grapalat" w:hAnsi="GHEA Grapalat"/>
          <w:b/>
          <w:lang w:val="hy-AM"/>
        </w:rPr>
      </w:pPr>
      <w:r w:rsidRPr="00AA42EF">
        <w:rPr>
          <w:rFonts w:ascii="GHEA Grapalat" w:hAnsi="GHEA Grapalat"/>
          <w:b/>
          <w:lang w:val="hy-AM"/>
        </w:rPr>
        <w:t>Իրավական ակտի նախագիծը մշակող պատասխանատու մարմինը</w:t>
      </w:r>
      <w:r w:rsidRPr="00AA42EF">
        <w:rPr>
          <w:rFonts w:ascii="Agg_Book1" w:hAnsi="Agg_Book1"/>
          <w:b/>
          <w:lang w:val="hy-AM"/>
        </w:rPr>
        <w:t>.</w:t>
      </w:r>
    </w:p>
    <w:p w:rsidR="00206D42" w:rsidRPr="00AA42EF" w:rsidRDefault="00206D42" w:rsidP="00726B12">
      <w:pPr>
        <w:pStyle w:val="NormalWeb"/>
        <w:spacing w:before="0" w:beforeAutospacing="0" w:after="0" w:afterAutospacing="0" w:line="276" w:lineRule="auto"/>
        <w:ind w:left="-720" w:firstLine="720"/>
        <w:jc w:val="both"/>
        <w:rPr>
          <w:rFonts w:ascii="GHEA Grapalat" w:hAnsi="GHEA Grapalat"/>
          <w:b/>
          <w:lang w:val="hy-AM"/>
        </w:rPr>
      </w:pPr>
      <w:r w:rsidRPr="00AA42EF">
        <w:rPr>
          <w:rFonts w:ascii="GHEA Grapalat" w:hAnsi="GHEA Grapalat"/>
          <w:lang w:val="hy-AM"/>
        </w:rPr>
        <w:t>Նախագիծը մշակվել է Վարչապետի աշխատակազմի տեսչական մարմինների աշխատանքների համակարգման գրասենյակի կողմից:</w:t>
      </w:r>
    </w:p>
    <w:p w:rsidR="00206D42" w:rsidRPr="00AA42EF" w:rsidRDefault="00206D42" w:rsidP="00726B12">
      <w:pPr>
        <w:ind w:firstLine="720"/>
        <w:rPr>
          <w:sz w:val="24"/>
          <w:szCs w:val="24"/>
          <w:lang w:val="hy-AM"/>
        </w:rPr>
      </w:pPr>
    </w:p>
    <w:p w:rsidR="00693673" w:rsidRPr="00AA42EF" w:rsidRDefault="00693673" w:rsidP="00726B12">
      <w:pPr>
        <w:ind w:firstLine="720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</w:p>
    <w:p w:rsidR="00693673" w:rsidRPr="00AA42EF" w:rsidRDefault="00693673" w:rsidP="00726B12">
      <w:pPr>
        <w:spacing w:after="0"/>
        <w:ind w:left="-207"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AA42EF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ՏԵՂԵԿԱՆՔ</w:t>
      </w:r>
    </w:p>
    <w:p w:rsidR="00693673" w:rsidRPr="00AA42EF" w:rsidRDefault="00693673" w:rsidP="00726B12">
      <w:pPr>
        <w:pStyle w:val="ListParagraph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A42EF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2011 ԹՎԱԿԱՆԻ ԴԵԿՏԵՄԲԵՐԻ 29-Ի N 1925-Ն ՈՐՈՇՄԱՆ ՄԵՋ ՓՈՓՈԽՈՒԹՅՈՒՆՆԵՐ ԿԱՏԱՐԵԼՈՒ ՄԱՍԻՆ» </w:t>
      </w:r>
      <w:r w:rsidR="00726B12" w:rsidRPr="00AA42EF">
        <w:rPr>
          <w:rFonts w:ascii="GHEA Grapalat" w:hAnsi="GHEA Grapalat"/>
          <w:b/>
          <w:sz w:val="24"/>
          <w:szCs w:val="24"/>
          <w:lang w:val="hy-AM"/>
        </w:rPr>
        <w:t xml:space="preserve">ԿԱՌԱՎԱՐՈՒԹՅԱՆ </w:t>
      </w:r>
      <w:r w:rsidRPr="00AA42EF">
        <w:rPr>
          <w:rFonts w:ascii="GHEA Grapalat" w:hAnsi="GHEA Grapalat"/>
          <w:b/>
          <w:sz w:val="24"/>
          <w:szCs w:val="24"/>
          <w:lang w:val="hy-AM"/>
        </w:rPr>
        <w:t xml:space="preserve">ՈՐՈՇՄԱՆ ՆԱԽԱԳԾԻ </w:t>
      </w:r>
      <w:r w:rsidRPr="00AA42EF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AA42EF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693673" w:rsidRPr="00AA42EF" w:rsidRDefault="00693673" w:rsidP="00726B12">
      <w:pPr>
        <w:spacing w:after="0"/>
        <w:ind w:firstLine="720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</w:p>
    <w:p w:rsidR="00693673" w:rsidRPr="00AA42EF" w:rsidRDefault="00693673" w:rsidP="00726B1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42EF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2011 թվականի դեկտեմբերի 29-ի N 1925-Ն որոշման մեջ փոփոխություններ կատարելու մասին</w:t>
      </w:r>
      <w:r w:rsidRPr="00AA42E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26B12" w:rsidRPr="00AA42EF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AA42EF">
        <w:rPr>
          <w:rFonts w:ascii="GHEA Grapalat" w:hAnsi="GHEA Grapalat"/>
          <w:sz w:val="24"/>
          <w:szCs w:val="24"/>
          <w:lang w:val="hy-AM"/>
        </w:rPr>
        <w:t xml:space="preserve">որոշման  նախագծի ընդունման </w:t>
      </w:r>
      <w:r w:rsidRPr="00AA42EF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AA42EF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անհրաժեշտություն առկա չէ:</w:t>
      </w:r>
    </w:p>
    <w:p w:rsidR="00693673" w:rsidRPr="00AA42EF" w:rsidRDefault="00693673" w:rsidP="00726B12">
      <w:pPr>
        <w:spacing w:after="0"/>
        <w:ind w:left="-207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93673" w:rsidRPr="00AA42EF" w:rsidRDefault="00693673" w:rsidP="00726B12">
      <w:pPr>
        <w:spacing w:after="0"/>
        <w:ind w:firstLine="72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693673" w:rsidRPr="00AA42EF" w:rsidRDefault="00693673" w:rsidP="00726B12">
      <w:pPr>
        <w:spacing w:after="0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693673" w:rsidRPr="00AA42EF" w:rsidRDefault="00693673" w:rsidP="00726B12">
      <w:pPr>
        <w:spacing w:after="0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A42E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ՏԵՂԵԿԱՆՔ</w:t>
      </w:r>
    </w:p>
    <w:p w:rsidR="00693673" w:rsidRPr="00AA42EF" w:rsidRDefault="00693673" w:rsidP="00726B12">
      <w:pPr>
        <w:pStyle w:val="ListParagraph"/>
        <w:tabs>
          <w:tab w:val="left" w:pos="993"/>
        </w:tabs>
        <w:spacing w:after="0"/>
        <w:ind w:left="0" w:firstLine="72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AA42EF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ԿԱՌԱՎԱՐՈՒԹՅԱՆ 2011 ԹՎԱԿԱՆԻ ԴԵԿՏԵՄԲԵՐԻ 29-Ի N 1925-Ն ՈՐՈՇՄԱՆ ՄԵՋ ՓՈՓՈԽՈՒԹՅՈՒՆՆԵՐ ԿԱՏԱՐԵԼՈՒ ՄԱՍԻՆ» </w:t>
      </w:r>
      <w:r w:rsidR="00726B12" w:rsidRPr="00AA42EF">
        <w:rPr>
          <w:rFonts w:ascii="GHEA Grapalat" w:hAnsi="GHEA Grapalat"/>
          <w:b/>
          <w:sz w:val="24"/>
          <w:szCs w:val="24"/>
          <w:lang w:val="hy-AM"/>
        </w:rPr>
        <w:t xml:space="preserve">ԿԱՌԱՎԱՐՈՒԹՅԱՆ </w:t>
      </w:r>
      <w:r w:rsidRPr="00AA42EF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  <w:r w:rsidRPr="00AA42EF">
        <w:rPr>
          <w:rFonts w:ascii="GHEA Grapalat" w:eastAsia="Times New Roman" w:hAnsi="GHEA Grapalat"/>
          <w:b/>
          <w:sz w:val="24"/>
          <w:szCs w:val="24"/>
          <w:lang w:val="hy-AM" w:eastAsia="en-US"/>
        </w:rPr>
        <w:t xml:space="preserve">  ԸՆԴՈՒՆՄԱՆ 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693673" w:rsidRPr="00AA42EF" w:rsidRDefault="00693673" w:rsidP="00726B12">
      <w:pPr>
        <w:pStyle w:val="ListParagraph"/>
        <w:tabs>
          <w:tab w:val="left" w:pos="993"/>
        </w:tabs>
        <w:spacing w:after="0"/>
        <w:ind w:left="0" w:firstLine="720"/>
        <w:jc w:val="center"/>
        <w:rPr>
          <w:rFonts w:ascii="GHEA Grapalat" w:eastAsia="Times New Roman" w:hAnsi="GHEA Grapalat"/>
          <w:b/>
          <w:sz w:val="24"/>
          <w:szCs w:val="24"/>
          <w:lang w:val="hy-AM" w:eastAsia="en-US"/>
        </w:rPr>
      </w:pPr>
    </w:p>
    <w:p w:rsidR="00693673" w:rsidRPr="00AA42EF" w:rsidRDefault="00693673" w:rsidP="00726B12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A42EF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2011 թվականի դեկտեմբերի 29-ի N 1925-Ն որոշման մեջ փոփոխություններ կատարելու մասին</w:t>
      </w:r>
      <w:r w:rsidRPr="00AA42E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26B12" w:rsidRPr="00AA42EF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Pr="00AA42EF">
        <w:rPr>
          <w:rFonts w:ascii="GHEA Grapalat" w:hAnsi="GHEA Grapalat"/>
          <w:sz w:val="24"/>
          <w:szCs w:val="24"/>
          <w:lang w:val="hy-AM"/>
        </w:rPr>
        <w:t>որոշման  նախագծի ընդունման</w:t>
      </w:r>
      <w:r w:rsidRPr="00AA42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A42EF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AA42EF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AA42EF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նախատեսվում։</w:t>
      </w:r>
      <w:r w:rsidRPr="00AA42EF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AA42EF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AA42EF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AA42EF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693673" w:rsidRPr="00AA42EF" w:rsidRDefault="00693673" w:rsidP="00726B12">
      <w:pPr>
        <w:ind w:firstLine="720"/>
        <w:rPr>
          <w:sz w:val="24"/>
          <w:szCs w:val="24"/>
          <w:lang w:val="hy-AM"/>
        </w:rPr>
      </w:pPr>
    </w:p>
    <w:p w:rsidR="00693673" w:rsidRPr="00AA42EF" w:rsidRDefault="00693673" w:rsidP="00726B12">
      <w:pPr>
        <w:ind w:firstLine="720"/>
        <w:rPr>
          <w:rFonts w:ascii="Sylfaen" w:hAnsi="Sylfaen"/>
          <w:sz w:val="24"/>
          <w:szCs w:val="24"/>
          <w:lang w:val="hy-AM"/>
        </w:rPr>
      </w:pPr>
    </w:p>
    <w:sectPr w:rsidR="00693673" w:rsidRPr="00AA42EF" w:rsidSect="0014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g_Book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6D42"/>
    <w:rsid w:val="000F7CB7"/>
    <w:rsid w:val="00134E98"/>
    <w:rsid w:val="00134FF1"/>
    <w:rsid w:val="00141F48"/>
    <w:rsid w:val="00206D42"/>
    <w:rsid w:val="00251F42"/>
    <w:rsid w:val="002E230C"/>
    <w:rsid w:val="002E6F82"/>
    <w:rsid w:val="00471B2B"/>
    <w:rsid w:val="004E1EB9"/>
    <w:rsid w:val="00593D3B"/>
    <w:rsid w:val="005F3916"/>
    <w:rsid w:val="0067016F"/>
    <w:rsid w:val="006836E0"/>
    <w:rsid w:val="00693673"/>
    <w:rsid w:val="00726B12"/>
    <w:rsid w:val="0087786C"/>
    <w:rsid w:val="0098716E"/>
    <w:rsid w:val="00A578D5"/>
    <w:rsid w:val="00A705A9"/>
    <w:rsid w:val="00AA42EF"/>
    <w:rsid w:val="00AB60A7"/>
    <w:rsid w:val="00FD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20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206D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693673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693673"/>
    <w:rPr>
      <w:rFonts w:ascii="Calibri" w:eastAsia="Calibri" w:hAnsi="Calibri"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693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QristineA</dc:creator>
  <cp:keywords>https:/mul2.gov.am/tasks/179273/oneclick/HIMNAVORUM.docx?token=1c8ee8535462a7c6d3324cebc4479add</cp:keywords>
  <cp:lastModifiedBy>Uesr</cp:lastModifiedBy>
  <cp:revision>2</cp:revision>
  <dcterms:created xsi:type="dcterms:W3CDTF">2019-12-30T12:44:00Z</dcterms:created>
  <dcterms:modified xsi:type="dcterms:W3CDTF">2019-12-30T12:44:00Z</dcterms:modified>
</cp:coreProperties>
</file>