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24" w:rsidRPr="00CC67B8" w:rsidRDefault="00951F24" w:rsidP="000905EA">
      <w:pPr>
        <w:spacing w:after="0"/>
        <w:jc w:val="center"/>
        <w:rPr>
          <w:rFonts w:eastAsia="Times New Roman" w:cs="Sylfaen"/>
          <w:b/>
          <w:bCs/>
          <w:noProof/>
          <w:sz w:val="24"/>
          <w:szCs w:val="24"/>
          <w:lang w:val="hy-AM"/>
        </w:rPr>
      </w:pPr>
      <w:bookmarkStart w:id="0" w:name="_GoBack"/>
    </w:p>
    <w:p w:rsidR="00B9146B" w:rsidRPr="00CC67B8" w:rsidRDefault="00B9146B" w:rsidP="004E6A21">
      <w:pPr>
        <w:spacing w:after="0"/>
        <w:jc w:val="center"/>
        <w:rPr>
          <w:rFonts w:eastAsia="Times New Roman" w:cs="Sylfaen"/>
          <w:b/>
          <w:bCs/>
          <w:noProof/>
          <w:sz w:val="24"/>
          <w:szCs w:val="24"/>
          <w:lang w:val="hy-AM"/>
        </w:rPr>
      </w:pPr>
      <w:r w:rsidRPr="00CC67B8">
        <w:rPr>
          <w:rFonts w:eastAsia="Times New Roman" w:cs="Sylfaen"/>
          <w:b/>
          <w:bCs/>
          <w:noProof/>
          <w:sz w:val="24"/>
          <w:szCs w:val="24"/>
          <w:lang w:val="hy-AM"/>
        </w:rPr>
        <w:t>ՀԻՄՆԱՎՈՐՈՒՄ</w:t>
      </w:r>
    </w:p>
    <w:p w:rsidR="00B9146B" w:rsidRPr="00CC67B8" w:rsidRDefault="005F42A3" w:rsidP="004E6A21">
      <w:pPr>
        <w:autoSpaceDE w:val="0"/>
        <w:autoSpaceDN w:val="0"/>
        <w:adjustRightInd w:val="0"/>
        <w:spacing w:after="0"/>
        <w:ind w:right="-540" w:firstLine="720"/>
        <w:jc w:val="center"/>
        <w:rPr>
          <w:rFonts w:eastAsia="Times New Roman"/>
          <w:b/>
          <w:bCs/>
          <w:noProof/>
          <w:color w:val="000000"/>
          <w:sz w:val="24"/>
          <w:szCs w:val="24"/>
          <w:lang w:val="hy-AM"/>
        </w:rPr>
      </w:pPr>
      <w:r w:rsidRPr="00CC67B8">
        <w:rPr>
          <w:rFonts w:cs="GHEA Mariam"/>
          <w:b/>
          <w:noProof/>
          <w:color w:val="000000"/>
          <w:sz w:val="24"/>
          <w:szCs w:val="24"/>
          <w:lang w:val="hy-AM"/>
        </w:rPr>
        <w:t>«</w:t>
      </w:r>
      <w:r w:rsidRPr="00CC67B8">
        <w:rPr>
          <w:rFonts w:eastAsia="Times New Roman"/>
          <w:b/>
          <w:bCs/>
          <w:noProof/>
          <w:color w:val="000000"/>
          <w:sz w:val="24"/>
          <w:szCs w:val="24"/>
          <w:lang w:val="hy-AM"/>
        </w:rPr>
        <w:t>ՀԱՅԱՍՏԱՆԻ ՀԱՆՐԱՊԵՏՈՒԹՅԱՆ ԿԱՌԱՎԱՐՈՒԹՅԱՆ 2012 ԹՎԱԿԱՆԻ ԴԵԿՏԵՄԲԵՐԻ 27-Ի N1679-Ն ՈՐՈՇՄԱՆ ՄԵՋ ԼՐԱՑՈՒՄՆԵՐ</w:t>
      </w:r>
      <w:r w:rsidRPr="00CC67B8">
        <w:rPr>
          <w:rFonts w:eastAsia="Times New Roman"/>
          <w:b/>
          <w:bCs/>
          <w:noProof/>
          <w:color w:val="FF0000"/>
          <w:sz w:val="24"/>
          <w:szCs w:val="24"/>
          <w:lang w:val="hy-AM"/>
        </w:rPr>
        <w:t xml:space="preserve"> </w:t>
      </w:r>
      <w:r w:rsidR="00DC51B0" w:rsidRPr="00CC67B8">
        <w:rPr>
          <w:rFonts w:eastAsia="Times New Roman"/>
          <w:b/>
          <w:bCs/>
          <w:noProof/>
          <w:sz w:val="24"/>
          <w:szCs w:val="24"/>
          <w:lang w:val="hy-AM"/>
        </w:rPr>
        <w:t>ԵՎ</w:t>
      </w:r>
      <w:r w:rsidR="00DC51B0" w:rsidRPr="00CC67B8">
        <w:rPr>
          <w:rFonts w:eastAsia="Times New Roman"/>
          <w:b/>
          <w:bCs/>
          <w:noProof/>
          <w:color w:val="FF0000"/>
          <w:sz w:val="24"/>
          <w:szCs w:val="24"/>
          <w:lang w:val="hy-AM"/>
        </w:rPr>
        <w:t xml:space="preserve"> </w:t>
      </w:r>
      <w:r w:rsidRPr="00CC67B8">
        <w:rPr>
          <w:rFonts w:eastAsia="Times New Roman"/>
          <w:b/>
          <w:bCs/>
          <w:noProof/>
          <w:sz w:val="24"/>
          <w:szCs w:val="24"/>
          <w:lang w:val="hy-AM"/>
        </w:rPr>
        <w:t xml:space="preserve">ՓՈՓՈԽՈՒԹՅՈՒՆ </w:t>
      </w:r>
      <w:r w:rsidRPr="00CC67B8">
        <w:rPr>
          <w:rFonts w:eastAsia="Times New Roman"/>
          <w:b/>
          <w:bCs/>
          <w:noProof/>
          <w:color w:val="000000"/>
          <w:sz w:val="24"/>
          <w:szCs w:val="24"/>
          <w:lang w:val="hy-AM"/>
        </w:rPr>
        <w:t>ԿԱՏԱՐԵԼՈՒ ՄԱՍԻՆ</w:t>
      </w:r>
      <w:r w:rsidRPr="00CC67B8">
        <w:rPr>
          <w:rFonts w:cs="GHEA Mariam"/>
          <w:b/>
          <w:noProof/>
          <w:color w:val="000000"/>
          <w:sz w:val="24"/>
          <w:szCs w:val="24"/>
          <w:lang w:val="hy-AM"/>
        </w:rPr>
        <w:t xml:space="preserve">» </w:t>
      </w:r>
      <w:r w:rsidR="007679EE" w:rsidRPr="00CC67B8">
        <w:rPr>
          <w:rFonts w:cs="GHEA Mariam"/>
          <w:b/>
          <w:noProof/>
          <w:color w:val="000000"/>
          <w:sz w:val="24"/>
          <w:szCs w:val="24"/>
          <w:lang w:val="hy-AM"/>
        </w:rPr>
        <w:t xml:space="preserve">ՀԱՅԱՍՏԱՆԻ ՀԱՆՐԱՊԵՏՈՒԹՅԱՆ ԿԱՌԱՎԱՐՈՒԹՅԱՆ ՈՐՈՇՄԱՆ  </w:t>
      </w:r>
      <w:r w:rsidR="000B2C65" w:rsidRPr="00CC67B8">
        <w:rPr>
          <w:rFonts w:cs="GHEA Mariam"/>
          <w:b/>
          <w:noProof/>
          <w:color w:val="000000"/>
          <w:sz w:val="24"/>
          <w:szCs w:val="24"/>
          <w:lang w:val="hy-AM"/>
        </w:rPr>
        <w:t>ՆԱԽԱԳԾԻ ԸՆԴՈՒՆՄԱՆ</w:t>
      </w:r>
    </w:p>
    <w:p w:rsidR="000B2C65" w:rsidRPr="00CC67B8" w:rsidRDefault="000B2C65" w:rsidP="005F42A3">
      <w:pPr>
        <w:pStyle w:val="NormalWeb"/>
        <w:spacing w:before="0" w:beforeAutospacing="0" w:after="0" w:afterAutospacing="0" w:line="276" w:lineRule="auto"/>
        <w:ind w:left="-90" w:right="-180" w:firstLine="90"/>
        <w:jc w:val="center"/>
        <w:rPr>
          <w:rFonts w:ascii="GHEA Grapalat" w:hAnsi="GHEA Grapalat" w:cs="Sylfaen"/>
          <w:b/>
          <w:bCs/>
          <w:noProof/>
          <w:lang w:val="hy-AM"/>
        </w:rPr>
      </w:pPr>
    </w:p>
    <w:p w:rsidR="000B2C65" w:rsidRPr="00CC67B8" w:rsidRDefault="000B2C65" w:rsidP="00951F24">
      <w:pPr>
        <w:pStyle w:val="NormalWeb"/>
        <w:spacing w:before="0" w:beforeAutospacing="0" w:after="0" w:afterAutospacing="0" w:line="360" w:lineRule="auto"/>
        <w:ind w:left="-90" w:right="-180" w:firstLine="90"/>
        <w:jc w:val="center"/>
        <w:rPr>
          <w:rFonts w:ascii="GHEA Grapalat" w:hAnsi="GHEA Grapalat" w:cs="Sylfaen"/>
          <w:b/>
          <w:bCs/>
          <w:noProof/>
          <w:lang w:val="hy-AM"/>
        </w:rPr>
      </w:pPr>
    </w:p>
    <w:p w:rsidR="00810BFC" w:rsidRPr="00CC67B8" w:rsidRDefault="00810BFC" w:rsidP="0017025B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noProof/>
          <w:lang w:val="hy-AM"/>
        </w:rPr>
      </w:pPr>
      <w:r w:rsidRPr="00CC67B8">
        <w:rPr>
          <w:rFonts w:ascii="GHEA Grapalat" w:hAnsi="GHEA Grapalat"/>
          <w:b/>
          <w:noProof/>
          <w:color w:val="000000"/>
          <w:lang w:val="hy-AM"/>
        </w:rPr>
        <w:t>1. Ընթացիկ իրավիճակը և իրավական ակտի ընդունման անհրաժեշտությունը</w:t>
      </w:r>
    </w:p>
    <w:p w:rsidR="004B5FBA" w:rsidRPr="00CC67B8" w:rsidRDefault="00FE311E" w:rsidP="00883F3A">
      <w:pPr>
        <w:spacing w:after="240"/>
        <w:ind w:firstLine="720"/>
        <w:jc w:val="both"/>
        <w:rPr>
          <w:rFonts w:eastAsia="Times New Roman" w:cs="GHEA Grapalat"/>
          <w:noProof/>
          <w:sz w:val="24"/>
          <w:szCs w:val="24"/>
          <w:lang w:val="hy-AM"/>
        </w:rPr>
      </w:pPr>
      <w:r w:rsidRPr="00CC67B8">
        <w:rPr>
          <w:rFonts w:cs="GHEA Mariam"/>
          <w:b/>
          <w:noProof/>
          <w:color w:val="000000"/>
          <w:sz w:val="24"/>
          <w:szCs w:val="24"/>
          <w:lang w:val="hy-AM"/>
        </w:rPr>
        <w:t>«</w:t>
      </w:r>
      <w:r w:rsidRPr="00CC67B8">
        <w:rPr>
          <w:rFonts w:eastAsia="Times New Roman"/>
          <w:bCs/>
          <w:noProof/>
          <w:color w:val="000000"/>
          <w:sz w:val="24"/>
          <w:szCs w:val="24"/>
          <w:lang w:val="hy-AM"/>
        </w:rPr>
        <w:t>Հայաստանի Հանրապետության կառավարության 2012 թվականի դեկտեմբերի 27-ի N1679-ն որոշման մեջ լրացումներ և փոփոխություն կատարելու մասին</w:t>
      </w:r>
      <w:r w:rsidRPr="00CC67B8">
        <w:rPr>
          <w:rFonts w:cs="GHEA Mariam"/>
          <w:noProof/>
          <w:color w:val="000000"/>
          <w:sz w:val="24"/>
          <w:szCs w:val="24"/>
          <w:lang w:val="hy-AM"/>
        </w:rPr>
        <w:t>»</w:t>
      </w:r>
      <w:r w:rsidRPr="00CC67B8">
        <w:rPr>
          <w:rFonts w:cs="GHEA Mariam"/>
          <w:b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cs="GHEA Mariam"/>
          <w:noProof/>
          <w:color w:val="000000"/>
          <w:sz w:val="24"/>
          <w:szCs w:val="24"/>
          <w:lang w:val="hy-AM"/>
        </w:rPr>
        <w:t xml:space="preserve"> </w:t>
      </w:r>
      <w:r w:rsidR="00E070E7" w:rsidRPr="00CC67B8">
        <w:rPr>
          <w:rFonts w:cs="Sylfaen"/>
          <w:bCs/>
          <w:noProof/>
          <w:sz w:val="24"/>
          <w:szCs w:val="24"/>
          <w:lang w:val="hy-AM"/>
        </w:rPr>
        <w:t>Հայաստանի Հանրապետության կառավարության որոշման</w:t>
      </w:r>
      <w:r w:rsidR="001412A5" w:rsidRPr="00CC67B8">
        <w:rPr>
          <w:rFonts w:cs="GHEA Mariam"/>
          <w:noProof/>
          <w:color w:val="000000"/>
          <w:sz w:val="24"/>
          <w:szCs w:val="24"/>
          <w:lang w:val="hy-AM"/>
        </w:rPr>
        <w:t xml:space="preserve">  նախագծի </w:t>
      </w:r>
      <w:r w:rsidR="001412A5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(այսուհետ՝ </w:t>
      </w:r>
      <w:r w:rsidR="00E070E7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</w:t>
      </w:r>
      <w:r w:rsidR="001412A5" w:rsidRPr="00CC67B8">
        <w:rPr>
          <w:rFonts w:eastAsia="Times New Roman" w:cs="Sylfaen"/>
          <w:bCs/>
          <w:noProof/>
          <w:sz w:val="24"/>
          <w:szCs w:val="24"/>
          <w:lang w:val="hy-AM"/>
        </w:rPr>
        <w:t>նախագիծ) ընդունման անհրաժեշտությունը պայմանավորված է</w:t>
      </w:r>
      <w:r w:rsidR="00421EDB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>«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Հայաստանի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Հանրապետությունում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ստուգումների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կազմակերպման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և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անցկացման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մասին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»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Հայաստանի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Հանրապետության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օրենքի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2.1-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րդ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46AA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հոդվածի</w:t>
      </w:r>
      <w:r w:rsidR="00C46AA0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2-րդ </w:t>
      </w:r>
      <w:r w:rsidR="00220626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և </w:t>
      </w:r>
      <w:r w:rsidR="007624F0" w:rsidRPr="00CC67B8">
        <w:rPr>
          <w:rFonts w:cs="GHEA Mariam"/>
          <w:noProof/>
          <w:color w:val="000000"/>
          <w:sz w:val="24"/>
          <w:szCs w:val="24"/>
          <w:lang w:val="hy-AM"/>
        </w:rPr>
        <w:t>«</w:t>
      </w:r>
      <w:r w:rsidR="007624F0" w:rsidRPr="00CC67B8">
        <w:rPr>
          <w:rFonts w:eastAsia="Times New Roman"/>
          <w:bCs/>
          <w:noProof/>
          <w:sz w:val="24"/>
          <w:szCs w:val="24"/>
          <w:lang w:val="hy-AM" w:eastAsia="ru-RU"/>
        </w:rPr>
        <w:t>Սննդամթերքի անվտանգության պետական վերահսկողության մասին</w:t>
      </w:r>
      <w:r w:rsidR="007624F0" w:rsidRPr="00CC67B8">
        <w:rPr>
          <w:rFonts w:cs="GHEA Mariam"/>
          <w:noProof/>
          <w:color w:val="000000"/>
          <w:sz w:val="24"/>
          <w:szCs w:val="24"/>
          <w:lang w:val="hy-AM"/>
        </w:rPr>
        <w:t>» ՀՀ օրենքի 7-րդ հոդվածի 1-ին մաս</w:t>
      </w:r>
      <w:r w:rsidR="00220626" w:rsidRPr="00CC67B8">
        <w:rPr>
          <w:rFonts w:cs="GHEA Mariam"/>
          <w:noProof/>
          <w:color w:val="000000"/>
          <w:sz w:val="24"/>
          <w:szCs w:val="24"/>
          <w:lang w:val="hy-AM"/>
        </w:rPr>
        <w:t>եր</w:t>
      </w:r>
      <w:r w:rsidR="007624F0" w:rsidRPr="00CC67B8">
        <w:rPr>
          <w:rFonts w:cs="GHEA Mariam"/>
          <w:noProof/>
          <w:color w:val="000000"/>
          <w:sz w:val="24"/>
          <w:szCs w:val="24"/>
          <w:lang w:val="hy-AM"/>
        </w:rPr>
        <w:t>ով</w:t>
      </w:r>
      <w:r w:rsidR="00A92375" w:rsidRPr="00CC67B8">
        <w:rPr>
          <w:noProof/>
          <w:color w:val="000000"/>
          <w:sz w:val="24"/>
          <w:szCs w:val="24"/>
          <w:lang w:val="hy-AM"/>
        </w:rPr>
        <w:t xml:space="preserve">՝ համաձայն </w:t>
      </w:r>
      <w:r w:rsidR="00A0683E" w:rsidRPr="00CC67B8">
        <w:rPr>
          <w:noProof/>
          <w:color w:val="000000"/>
          <w:sz w:val="24"/>
          <w:szCs w:val="24"/>
          <w:lang w:val="hy-AM"/>
        </w:rPr>
        <w:t>որ</w:t>
      </w:r>
      <w:r w:rsidR="007624F0" w:rsidRPr="00CC67B8">
        <w:rPr>
          <w:noProof/>
          <w:color w:val="000000"/>
          <w:sz w:val="24"/>
          <w:szCs w:val="24"/>
          <w:lang w:val="hy-AM"/>
        </w:rPr>
        <w:t>ոնց</w:t>
      </w:r>
      <w:r w:rsidR="00A92375" w:rsidRPr="00CC67B8">
        <w:rPr>
          <w:noProof/>
          <w:color w:val="000000"/>
          <w:sz w:val="24"/>
          <w:szCs w:val="24"/>
          <w:lang w:val="hy-AM"/>
        </w:rPr>
        <w:t xml:space="preserve"> վերահսկողություն </w:t>
      </w:r>
      <w:r w:rsidR="00695D39" w:rsidRPr="00CC67B8">
        <w:rPr>
          <w:noProof/>
          <w:color w:val="000000"/>
          <w:sz w:val="24"/>
          <w:szCs w:val="24"/>
          <w:lang w:val="hy-AM"/>
        </w:rPr>
        <w:t xml:space="preserve">իրականացնող մարմինը՝ </w:t>
      </w:r>
      <w:r w:rsidR="00A92375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Հայաստանի</w:t>
      </w:r>
      <w:r w:rsidR="00A92375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A92375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Հանրապետության</w:t>
      </w:r>
      <w:r w:rsidR="00A92375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A662A8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սննդամթերքի անվտանգության տեսչական մարմինը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 xml:space="preserve"> (</w:t>
      </w:r>
      <w:r w:rsidR="00A92375" w:rsidRPr="00CC67B8">
        <w:rPr>
          <w:rFonts w:eastAsia="Times New Roman" w:cs="Sylfaen"/>
          <w:noProof/>
          <w:sz w:val="24"/>
          <w:szCs w:val="24"/>
          <w:lang w:val="hy-AM"/>
        </w:rPr>
        <w:t>այսուհետ</w:t>
      </w:r>
      <w:r w:rsidR="00A662A8" w:rsidRPr="00CC67B8">
        <w:rPr>
          <w:rFonts w:eastAsia="Times New Roman"/>
          <w:noProof/>
          <w:sz w:val="24"/>
          <w:szCs w:val="24"/>
          <w:lang w:val="hy-AM"/>
        </w:rPr>
        <w:t>`</w:t>
      </w:r>
      <w:r w:rsidR="003C2FEB" w:rsidRPr="00CC67B8">
        <w:rPr>
          <w:rFonts w:eastAsia="Times New Roman"/>
          <w:noProof/>
          <w:sz w:val="24"/>
          <w:szCs w:val="24"/>
          <w:lang w:val="hy-AM"/>
        </w:rPr>
        <w:t xml:space="preserve"> Տ</w:t>
      </w:r>
      <w:r w:rsidR="00A662A8" w:rsidRPr="00CC67B8">
        <w:rPr>
          <w:rFonts w:eastAsia="Times New Roman"/>
          <w:noProof/>
          <w:sz w:val="24"/>
          <w:szCs w:val="24"/>
          <w:lang w:val="hy-AM"/>
        </w:rPr>
        <w:t>եսչական մարմին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 xml:space="preserve">) անասնաբուժության </w:t>
      </w:r>
      <w:r w:rsidR="00FC7811" w:rsidRPr="00CC67B8">
        <w:rPr>
          <w:rFonts w:eastAsia="Times New Roman"/>
          <w:noProof/>
          <w:sz w:val="24"/>
          <w:szCs w:val="24"/>
          <w:lang w:val="hy-AM"/>
        </w:rPr>
        <w:t>և բուսասանիտ</w:t>
      </w:r>
      <w:r w:rsidR="00F72894" w:rsidRPr="00CC67B8">
        <w:rPr>
          <w:rFonts w:eastAsia="Times New Roman"/>
          <w:noProof/>
          <w:sz w:val="24"/>
          <w:szCs w:val="24"/>
          <w:lang w:val="hy-AM"/>
        </w:rPr>
        <w:t>ա</w:t>
      </w:r>
      <w:r w:rsidR="00FC7811" w:rsidRPr="00CC67B8">
        <w:rPr>
          <w:rFonts w:eastAsia="Times New Roman"/>
          <w:noProof/>
          <w:sz w:val="24"/>
          <w:szCs w:val="24"/>
          <w:lang w:val="hy-AM"/>
        </w:rPr>
        <w:t xml:space="preserve">րիայի 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>ոլորտ</w:t>
      </w:r>
      <w:r w:rsidR="00FC7811" w:rsidRPr="00CC67B8">
        <w:rPr>
          <w:rFonts w:eastAsia="Times New Roman"/>
          <w:noProof/>
          <w:sz w:val="24"/>
          <w:szCs w:val="24"/>
          <w:lang w:val="hy-AM"/>
        </w:rPr>
        <w:t>ներ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 xml:space="preserve">ի վերահսկողական միջոցառումները </w:t>
      </w:r>
      <w:r w:rsidR="00695D39" w:rsidRPr="00CC67B8">
        <w:rPr>
          <w:rFonts w:eastAsia="Times New Roman"/>
          <w:noProof/>
          <w:sz w:val="24"/>
          <w:szCs w:val="24"/>
          <w:lang w:val="hy-AM"/>
        </w:rPr>
        <w:t xml:space="preserve">պետք է իրականացնի </w:t>
      </w:r>
      <w:r w:rsidR="00A92375" w:rsidRPr="00CC67B8">
        <w:rPr>
          <w:rFonts w:eastAsia="Times New Roman" w:cs="Sylfaen"/>
          <w:noProof/>
          <w:sz w:val="24"/>
          <w:szCs w:val="24"/>
          <w:lang w:val="hy-AM"/>
        </w:rPr>
        <w:t>ռիսկի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 xml:space="preserve"> </w:t>
      </w:r>
      <w:r w:rsidR="00A92375" w:rsidRPr="00CC67B8">
        <w:rPr>
          <w:rFonts w:eastAsia="Times New Roman" w:cs="Sylfaen"/>
          <w:noProof/>
          <w:sz w:val="24"/>
          <w:szCs w:val="24"/>
          <w:lang w:val="hy-AM"/>
        </w:rPr>
        <w:t>վրա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 xml:space="preserve"> </w:t>
      </w:r>
      <w:r w:rsidR="00A92375" w:rsidRPr="00CC67B8">
        <w:rPr>
          <w:rFonts w:eastAsia="Times New Roman" w:cs="Sylfaen"/>
          <w:noProof/>
          <w:sz w:val="24"/>
          <w:szCs w:val="24"/>
          <w:lang w:val="hy-AM"/>
        </w:rPr>
        <w:t>հիմնված</w:t>
      </w:r>
      <w:r w:rsidR="00A92375" w:rsidRPr="00CC67B8">
        <w:rPr>
          <w:rFonts w:eastAsia="Times New Roman"/>
          <w:noProof/>
          <w:sz w:val="24"/>
          <w:szCs w:val="24"/>
          <w:lang w:val="hy-AM"/>
        </w:rPr>
        <w:t xml:space="preserve"> </w:t>
      </w:r>
      <w:r w:rsidR="00A92375" w:rsidRPr="00CC67B8">
        <w:rPr>
          <w:rFonts w:eastAsia="Times New Roman" w:cs="Sylfaen"/>
          <w:noProof/>
          <w:sz w:val="24"/>
          <w:szCs w:val="24"/>
          <w:lang w:val="hy-AM"/>
        </w:rPr>
        <w:t>համակարգ</w:t>
      </w:r>
      <w:r w:rsidR="00695D39" w:rsidRPr="00CC67B8">
        <w:rPr>
          <w:rFonts w:eastAsia="Times New Roman" w:cs="Sylfaen"/>
          <w:noProof/>
          <w:sz w:val="24"/>
          <w:szCs w:val="24"/>
          <w:lang w:val="hy-AM"/>
        </w:rPr>
        <w:t>ի</w:t>
      </w:r>
      <w:r w:rsidR="00A92375" w:rsidRPr="00CC67B8">
        <w:rPr>
          <w:rFonts w:eastAsia="Times New Roman" w:cs="Sylfaen"/>
          <w:noProof/>
          <w:sz w:val="24"/>
          <w:szCs w:val="24"/>
          <w:lang w:val="hy-AM"/>
        </w:rPr>
        <w:t xml:space="preserve"> </w:t>
      </w:r>
      <w:r w:rsidR="00A92375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</w:t>
      </w:r>
      <w:r w:rsidR="00220626" w:rsidRPr="00CC67B8">
        <w:rPr>
          <w:rFonts w:eastAsia="Times New Roman" w:cs="Sylfaen"/>
          <w:bCs/>
          <w:noProof/>
          <w:sz w:val="24"/>
          <w:szCs w:val="24"/>
          <w:lang w:val="hy-AM"/>
        </w:rPr>
        <w:t>միջոցով</w:t>
      </w:r>
      <w:r w:rsidR="003C6864" w:rsidRPr="00CC67B8">
        <w:rPr>
          <w:noProof/>
          <w:sz w:val="24"/>
          <w:szCs w:val="24"/>
          <w:lang w:val="hy-AM"/>
        </w:rPr>
        <w:t>:</w:t>
      </w:r>
      <w:r w:rsidR="001C6A2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</w:t>
      </w:r>
      <w:r w:rsidR="00C46F7F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Ներկայումս </w:t>
      </w:r>
      <w:r w:rsidR="00CD201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անասնաբուժության </w:t>
      </w:r>
      <w:r w:rsidR="00F72894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և բուսասանիտարիայի </w:t>
      </w:r>
      <w:r w:rsidR="00CD201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ոլորտ</w:t>
      </w:r>
      <w:r w:rsidR="00F72894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ներ</w:t>
      </w:r>
      <w:r w:rsidR="00CD2010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ի ստուգումները </w:t>
      </w:r>
      <w:r w:rsidR="00005673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իրականացվում են առանց հաշվի առնելու օբյեկտ</w:t>
      </w:r>
      <w:r w:rsidR="00F72894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ներ</w:t>
      </w:r>
      <w:r w:rsidR="00005673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ի ռիսկայնության աստիճանը,</w:t>
      </w:r>
      <w:r w:rsidR="004B1D0C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քանի որ չկա</w:t>
      </w:r>
      <w:r w:rsidR="007F6AFB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ն</w:t>
      </w:r>
      <w:r w:rsidR="004B1D0C" w:rsidRPr="00CC67B8">
        <w:rPr>
          <w:rFonts w:eastAsia="Times New Roman"/>
          <w:bCs/>
          <w:noProof/>
          <w:color w:val="000000"/>
          <w:sz w:val="24"/>
          <w:szCs w:val="24"/>
          <w:lang w:val="hy-AM"/>
        </w:rPr>
        <w:t xml:space="preserve"> ռիսկերի վրա հիմնված ստուգումների մեթոդաբանությունը</w:t>
      </w:r>
      <w:r w:rsidR="00CA60FF" w:rsidRPr="00CC67B8">
        <w:rPr>
          <w:rFonts w:eastAsia="Times New Roman"/>
          <w:bCs/>
          <w:noProof/>
          <w:color w:val="000000"/>
          <w:sz w:val="24"/>
          <w:szCs w:val="24"/>
          <w:lang w:val="hy-AM"/>
        </w:rPr>
        <w:t xml:space="preserve"> և </w:t>
      </w:r>
      <w:r w:rsidR="00CA60FF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ռիսկայնության աստիճանը որոշող </w:t>
      </w:r>
      <w:r w:rsidR="00B16293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ընդհանուր </w:t>
      </w:r>
      <w:r w:rsidR="00CA60FF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>չափանիշները</w:t>
      </w:r>
      <w:r w:rsidR="004B1D0C" w:rsidRPr="00CC67B8">
        <w:rPr>
          <w:rFonts w:eastAsia="Times New Roman"/>
          <w:bCs/>
          <w:noProof/>
          <w:color w:val="000000"/>
          <w:sz w:val="24"/>
          <w:szCs w:val="24"/>
          <w:lang w:val="hy-AM"/>
        </w:rPr>
        <w:t>:</w:t>
      </w:r>
      <w:r w:rsidR="004B1D0C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</w:t>
      </w:r>
      <w:r w:rsidR="00CA60FF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Ռիսկի վրա հիմնված ստուգումների համակարգի միջոցով </w:t>
      </w:r>
      <w:r w:rsidR="00A662A8" w:rsidRPr="00CC67B8">
        <w:rPr>
          <w:rFonts w:eastAsia="Times New Roman"/>
          <w:noProof/>
          <w:sz w:val="24"/>
          <w:szCs w:val="24"/>
          <w:lang w:val="hy-AM"/>
        </w:rPr>
        <w:t>տեսչական մարմինը</w:t>
      </w:r>
      <w:r w:rsidR="00AD61D4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D61D4" w:rsidRPr="00CC67B8">
        <w:rPr>
          <w:rFonts w:eastAsia="Times New Roman"/>
          <w:noProof/>
          <w:color w:val="000000"/>
          <w:sz w:val="24"/>
          <w:szCs w:val="24"/>
          <w:lang w:val="hy-AM"/>
        </w:rPr>
        <w:t>անասնաբուժության</w:t>
      </w:r>
      <w:r w:rsidR="007F6AFB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և բուսասանիտրիայի</w:t>
      </w:r>
      <w:r w:rsidR="00AD61D4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ոլորտ</w:t>
      </w:r>
      <w:r w:rsidR="007F6AFB" w:rsidRPr="00CC67B8">
        <w:rPr>
          <w:rFonts w:eastAsia="Times New Roman"/>
          <w:noProof/>
          <w:color w:val="000000"/>
          <w:sz w:val="24"/>
          <w:szCs w:val="24"/>
          <w:lang w:val="hy-AM"/>
        </w:rPr>
        <w:t>ներ</w:t>
      </w:r>
      <w:r w:rsidR="00AD61D4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ի </w:t>
      </w:r>
      <w:r w:rsidR="00CA60FF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ստուգումները </w:t>
      </w:r>
      <w:r w:rsidR="00AD61D4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>կնպատակաուղղի</w:t>
      </w:r>
      <w:r w:rsidR="00CA60FF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 դեպի այն ոլորտները և վերահսկման օբյեկտները, որոնք առավել ռիսկային են</w:t>
      </w:r>
      <w:r w:rsidR="004B5FBA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20626" w:rsidRPr="00CC67B8">
        <w:rPr>
          <w:noProof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="004B5FBA" w:rsidRPr="00CC67B8">
        <w:rPr>
          <w:rFonts w:eastAsia="Times New Roman" w:cs="GHEA Grapalat"/>
          <w:noProof/>
          <w:sz w:val="24"/>
          <w:szCs w:val="24"/>
          <w:lang w:val="hy-AM"/>
        </w:rPr>
        <w:t xml:space="preserve">կապահովի </w:t>
      </w:r>
      <w:r w:rsidR="004B5FBA" w:rsidRPr="00CC67B8">
        <w:rPr>
          <w:rFonts w:eastAsia="Times New Roman" w:cs="GHEAGrapalat"/>
          <w:noProof/>
          <w:sz w:val="24"/>
          <w:szCs w:val="24"/>
          <w:lang w:val="hy-AM"/>
        </w:rPr>
        <w:t xml:space="preserve">սննդամթերքի անվտանգության </w:t>
      </w:r>
      <w:r w:rsidR="004B5FBA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միջազգային չափանիշների և պահանջների ներդրման գործընթացը: </w:t>
      </w:r>
    </w:p>
    <w:p w:rsidR="006A1455" w:rsidRPr="00CC67B8" w:rsidRDefault="00D93D06" w:rsidP="0017025B">
      <w:pPr>
        <w:pStyle w:val="Normal2"/>
        <w:spacing w:line="276" w:lineRule="auto"/>
        <w:jc w:val="left"/>
        <w:rPr>
          <w:noProof/>
          <w:lang w:val="hy-AM"/>
        </w:rPr>
      </w:pPr>
      <w:r w:rsidRPr="00CC67B8">
        <w:rPr>
          <w:noProof/>
          <w:lang w:val="hy-AM"/>
        </w:rPr>
        <w:tab/>
      </w:r>
      <w:r w:rsidR="006A1455" w:rsidRPr="00CC67B8">
        <w:rPr>
          <w:noProof/>
          <w:lang w:val="hy-AM"/>
        </w:rPr>
        <w:t>2. Առաջարկվող կարգավորման բնույթը</w:t>
      </w:r>
    </w:p>
    <w:p w:rsidR="006776FD" w:rsidRPr="00CC67B8" w:rsidRDefault="00CA43CF" w:rsidP="0017025B">
      <w:pPr>
        <w:autoSpaceDE w:val="0"/>
        <w:autoSpaceDN w:val="0"/>
        <w:adjustRightInd w:val="0"/>
        <w:spacing w:after="0"/>
        <w:ind w:firstLine="567"/>
        <w:jc w:val="both"/>
        <w:rPr>
          <w:rFonts w:eastAsia="Times New Roman"/>
          <w:noProof/>
          <w:color w:val="000000"/>
          <w:sz w:val="24"/>
          <w:szCs w:val="24"/>
          <w:lang w:val="hy-AM"/>
        </w:rPr>
      </w:pPr>
      <w:r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</w:t>
      </w:r>
      <w:r w:rsidRPr="00CC67B8">
        <w:rPr>
          <w:rFonts w:eastAsia="Times New Roman" w:cs="GHEA Grapalat"/>
          <w:noProof/>
          <w:sz w:val="24"/>
          <w:szCs w:val="24"/>
          <w:lang w:val="hy-AM"/>
        </w:rPr>
        <w:t xml:space="preserve">Նախագծով </w:t>
      </w:r>
      <w:r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սահմանվում են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անասնաբուժության</w:t>
      </w:r>
      <w:r w:rsidR="00067C9C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և բուսասանիտարիայի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բնագավառ</w:t>
      </w:r>
      <w:r w:rsidR="00067C9C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ներ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ում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ռիսկերի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գնահատման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մեթոդաբանություն</w:t>
      </w:r>
      <w:r w:rsidR="00B83D62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ներ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ը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,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ռիսկայնության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ED520E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ընդհանուր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չափանիշները</w:t>
      </w:r>
      <w:r w:rsidR="00CD7391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, որոնց կիրառմամբ </w:t>
      </w:r>
      <w:r w:rsidR="00B6498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ձևավորվում են </w:t>
      </w:r>
      <w:r w:rsidR="00CD7391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տվյալների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բազայի</w:t>
      </w:r>
      <w:r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E665D9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համար տեղեկատվություններ</w:t>
      </w:r>
      <w:r w:rsidR="00AD61D4" w:rsidRPr="00CC67B8">
        <w:rPr>
          <w:rFonts w:eastAsia="Times New Roman"/>
          <w:noProof/>
          <w:color w:val="000000"/>
          <w:sz w:val="24"/>
          <w:szCs w:val="24"/>
          <w:lang w:val="hy-AM"/>
        </w:rPr>
        <w:t>:</w:t>
      </w:r>
      <w:r w:rsidR="006776FD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6776FD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Ռիսկերի հիման վրա համակարգի ներդնումը </w:t>
      </w:r>
      <w:r w:rsidR="00ED520E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և կիրառումը </w:t>
      </w:r>
      <w:r w:rsidR="006776FD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կապահովի </w:t>
      </w:r>
      <w:r w:rsidR="006776FD" w:rsidRPr="00CC67B8">
        <w:rPr>
          <w:rFonts w:eastAsia="Times New Roman"/>
          <w:noProof/>
          <w:color w:val="000000"/>
          <w:sz w:val="24"/>
          <w:szCs w:val="24"/>
          <w:lang w:val="hy-AM"/>
        </w:rPr>
        <w:t>ծառայության կողմից անասնաբուժության</w:t>
      </w:r>
      <w:r w:rsidR="00D56B42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և բուսասանիտարիայի</w:t>
      </w:r>
      <w:r w:rsidR="006776FD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ոլորտ</w:t>
      </w:r>
      <w:r w:rsidR="00D56B42" w:rsidRPr="00CC67B8">
        <w:rPr>
          <w:rFonts w:eastAsia="Times New Roman"/>
          <w:noProof/>
          <w:color w:val="000000"/>
          <w:sz w:val="24"/>
          <w:szCs w:val="24"/>
          <w:lang w:val="hy-AM"/>
        </w:rPr>
        <w:t>ներ</w:t>
      </w:r>
      <w:r w:rsidR="006776FD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ի ստուգումների </w:t>
      </w:r>
      <w:r w:rsidR="006776FD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արդյունավետ</w:t>
      </w:r>
      <w:r w:rsidR="00A35809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և նպատակային </w:t>
      </w:r>
      <w:r w:rsidR="006776FD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իրականացումը</w:t>
      </w:r>
      <w:r w:rsidR="006776FD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:  </w:t>
      </w:r>
    </w:p>
    <w:p w:rsidR="006776FD" w:rsidRPr="00CC67B8" w:rsidRDefault="006776FD" w:rsidP="0017025B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Sylfaen"/>
          <w:bCs/>
          <w:noProof/>
          <w:sz w:val="24"/>
          <w:szCs w:val="24"/>
          <w:lang w:val="hy-AM"/>
        </w:rPr>
      </w:pPr>
    </w:p>
    <w:p w:rsidR="00A35809" w:rsidRPr="00CC67B8" w:rsidRDefault="00B9146B" w:rsidP="0017025B">
      <w:pPr>
        <w:pStyle w:val="NormalWeb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 w:line="276" w:lineRule="auto"/>
        <w:ind w:left="0" w:right="232" w:firstLine="567"/>
        <w:rPr>
          <w:rFonts w:ascii="GHEA Grapalat" w:hAnsi="GHEA Grapalat"/>
          <w:b/>
          <w:noProof/>
          <w:lang w:val="hy-AM"/>
        </w:rPr>
      </w:pPr>
      <w:r w:rsidRPr="00CC67B8">
        <w:rPr>
          <w:rFonts w:ascii="GHEA Grapalat" w:hAnsi="GHEA Grapalat" w:cs="Sylfaen"/>
          <w:bCs/>
          <w:noProof/>
          <w:color w:val="FF0000"/>
          <w:lang w:val="hy-AM"/>
        </w:rPr>
        <w:lastRenderedPageBreak/>
        <w:t xml:space="preserve"> </w:t>
      </w:r>
      <w:r w:rsidR="00A35809" w:rsidRPr="00CC67B8">
        <w:rPr>
          <w:rFonts w:ascii="GHEA Grapalat" w:hAnsi="GHEA Grapalat"/>
          <w:b/>
          <w:noProof/>
          <w:lang w:val="hy-AM"/>
        </w:rPr>
        <w:t>Նախագծի մշակման գործընթացում ներգրավված ինստիտուտները, անձինք և նրանց դիրքորոշումը</w:t>
      </w:r>
    </w:p>
    <w:p w:rsidR="00B9146B" w:rsidRPr="00CC67B8" w:rsidRDefault="00CC67B8" w:rsidP="0017025B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Sylfaen"/>
          <w:bCs/>
          <w:noProof/>
          <w:sz w:val="24"/>
          <w:szCs w:val="24"/>
          <w:lang w:val="hy-AM"/>
        </w:rPr>
      </w:pPr>
      <w:r w:rsidRPr="00CC67B8">
        <w:rPr>
          <w:rFonts w:eastAsia="Times New Roman" w:cs="Sylfaen"/>
          <w:bCs/>
          <w:noProof/>
          <w:sz w:val="24"/>
          <w:szCs w:val="24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գրասենյակի և</w:t>
      </w:r>
      <w:r w:rsidR="00560AE9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</w:t>
      </w:r>
      <w:r w:rsidRPr="00CC67B8">
        <w:rPr>
          <w:rFonts w:eastAsia="Times New Roman" w:cs="Sylfaen"/>
          <w:bCs/>
          <w:noProof/>
          <w:sz w:val="24"/>
          <w:szCs w:val="24"/>
          <w:lang w:val="hy-AM"/>
        </w:rPr>
        <w:t>Հայաստանի Հանրապետության</w:t>
      </w:r>
      <w:r w:rsidR="00560AE9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</w:t>
      </w:r>
      <w:r w:rsidR="006A1455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սննդամթերքի անվտանգության </w:t>
      </w:r>
      <w:r w:rsidR="00A662A8" w:rsidRPr="00CC67B8">
        <w:rPr>
          <w:rFonts w:eastAsia="Times New Roman" w:cs="Sylfaen"/>
          <w:bCs/>
          <w:noProof/>
          <w:sz w:val="24"/>
          <w:szCs w:val="24"/>
          <w:lang w:val="hy-AM"/>
        </w:rPr>
        <w:t>տեսչական մարմնի</w:t>
      </w:r>
      <w:r w:rsidR="006A1455" w:rsidRPr="00CC67B8">
        <w:rPr>
          <w:rFonts w:eastAsia="Times New Roman" w:cs="Sylfaen"/>
          <w:bCs/>
          <w:noProof/>
          <w:sz w:val="24"/>
          <w:szCs w:val="24"/>
          <w:lang w:val="hy-AM"/>
        </w:rPr>
        <w:t xml:space="preserve"> կողմից: </w:t>
      </w:r>
      <w:r w:rsidR="00B9146B" w:rsidRPr="00CC67B8">
        <w:rPr>
          <w:rFonts w:eastAsia="Times New Roman" w:cs="Sylfaen"/>
          <w:bCs/>
          <w:noProof/>
          <w:sz w:val="24"/>
          <w:szCs w:val="24"/>
          <w:lang w:val="hy-AM"/>
        </w:rPr>
        <w:tab/>
      </w:r>
      <w:r w:rsidR="00B9146B" w:rsidRPr="00CC67B8">
        <w:rPr>
          <w:rFonts w:eastAsia="Times New Roman" w:cs="Sylfaen"/>
          <w:bCs/>
          <w:noProof/>
          <w:sz w:val="24"/>
          <w:szCs w:val="24"/>
          <w:lang w:val="hy-AM"/>
        </w:rPr>
        <w:tab/>
      </w:r>
    </w:p>
    <w:p w:rsidR="00DA1B33" w:rsidRPr="00CC67B8" w:rsidRDefault="00DA1B33" w:rsidP="0017025B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/>
          <w:b/>
          <w:noProof/>
          <w:color w:val="000000"/>
          <w:lang w:val="hy-AM"/>
        </w:rPr>
      </w:pPr>
      <w:r w:rsidRPr="00CC67B8">
        <w:rPr>
          <w:rFonts w:ascii="GHEA Grapalat" w:hAnsi="GHEA Grapalat"/>
          <w:b/>
          <w:noProof/>
          <w:color w:val="000000"/>
          <w:lang w:val="hy-AM"/>
        </w:rPr>
        <w:t>4. Ակնկալվող արդյունքը</w:t>
      </w:r>
    </w:p>
    <w:p w:rsidR="00231C57" w:rsidRPr="00CC67B8" w:rsidRDefault="00231C57" w:rsidP="0017025B">
      <w:pPr>
        <w:spacing w:after="0"/>
        <w:ind w:firstLine="708"/>
        <w:jc w:val="both"/>
        <w:rPr>
          <w:rStyle w:val="Strong"/>
          <w:b w:val="0"/>
          <w:noProof/>
          <w:sz w:val="24"/>
          <w:szCs w:val="24"/>
          <w:lang w:val="hy-AM"/>
        </w:rPr>
      </w:pPr>
      <w:r w:rsidRPr="00CC67B8">
        <w:rPr>
          <w:rFonts w:eastAsia="Times New Roman" w:cs="Sylfaen"/>
          <w:bCs/>
          <w:noProof/>
          <w:sz w:val="24"/>
          <w:szCs w:val="24"/>
          <w:lang w:val="hy-AM"/>
        </w:rPr>
        <w:t>Նախագծի</w:t>
      </w:r>
      <w:r w:rsidRPr="00CC67B8">
        <w:rPr>
          <w:rFonts w:cs="Sylfaen"/>
          <w:noProof/>
          <w:sz w:val="24"/>
          <w:szCs w:val="24"/>
          <w:lang w:val="hy-AM"/>
        </w:rPr>
        <w:t xml:space="preserve"> ընդունմամբ 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ակնկալվում է անասնաբուժության </w:t>
      </w:r>
      <w:r w:rsidR="00CA09D9" w:rsidRPr="00CC67B8">
        <w:rPr>
          <w:rStyle w:val="Strong"/>
          <w:b w:val="0"/>
          <w:noProof/>
          <w:sz w:val="24"/>
          <w:szCs w:val="24"/>
          <w:lang w:val="hy-AM"/>
        </w:rPr>
        <w:t xml:space="preserve">և բուսասանիտարիայի </w:t>
      </w:r>
      <w:r w:rsidRPr="00CC67B8">
        <w:rPr>
          <w:rStyle w:val="Strong"/>
          <w:b w:val="0"/>
          <w:noProof/>
          <w:sz w:val="24"/>
          <w:szCs w:val="24"/>
          <w:lang w:val="hy-AM"/>
        </w:rPr>
        <w:t>բնագավառ</w:t>
      </w:r>
      <w:r w:rsidR="00CA09D9" w:rsidRPr="00CC67B8">
        <w:rPr>
          <w:rStyle w:val="Strong"/>
          <w:b w:val="0"/>
          <w:noProof/>
          <w:sz w:val="24"/>
          <w:szCs w:val="24"/>
          <w:lang w:val="hy-AM"/>
        </w:rPr>
        <w:t>ներ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ում </w:t>
      </w:r>
      <w:r w:rsidR="000A17C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ռիսկերի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0A17C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գնահատման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CA09D9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մեթոդաբանություն</w:t>
      </w:r>
      <w:r w:rsidR="000A17C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ն</w:t>
      </w:r>
      <w:r w:rsidR="00CA09D9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երի</w:t>
      </w:r>
      <w:r w:rsidR="00C25733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և </w:t>
      </w:r>
      <w:r w:rsidR="000A17C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ռիսկայնության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0A17C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չափանիշների</w:t>
      </w:r>
      <w:r w:rsidR="00C25733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 xml:space="preserve"> ընդհանուր բնութագրերի սահմանում, ինչպես նաև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0A17CA" w:rsidRPr="00CC67B8">
        <w:rPr>
          <w:rStyle w:val="Strong"/>
          <w:b w:val="0"/>
          <w:noProof/>
          <w:sz w:val="24"/>
          <w:szCs w:val="24"/>
          <w:lang w:val="hy-AM"/>
        </w:rPr>
        <w:t xml:space="preserve">ռիսկերի գնահատման համար անհրաժեշտ </w:t>
      </w:r>
      <w:r w:rsidR="00A96809" w:rsidRPr="00CC67B8">
        <w:rPr>
          <w:rStyle w:val="Strong"/>
          <w:b w:val="0"/>
          <w:noProof/>
          <w:sz w:val="24"/>
          <w:szCs w:val="24"/>
          <w:lang w:val="hy-AM"/>
        </w:rPr>
        <w:t>տեղեկատվական</w:t>
      </w:r>
      <w:r w:rsidR="000A17CA" w:rsidRPr="00CC67B8">
        <w:rPr>
          <w:rStyle w:val="Strong"/>
          <w:b w:val="0"/>
          <w:noProof/>
          <w:sz w:val="24"/>
          <w:szCs w:val="24"/>
          <w:lang w:val="hy-AM"/>
        </w:rPr>
        <w:t xml:space="preserve"> </w:t>
      </w:r>
      <w:r w:rsidR="000A17CA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բազայի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A35809" w:rsidRPr="00CC67B8">
        <w:rPr>
          <w:rFonts w:eastAsia="Times New Roman" w:cs="Sylfaen"/>
          <w:noProof/>
          <w:color w:val="000000"/>
          <w:sz w:val="24"/>
          <w:szCs w:val="24"/>
          <w:lang w:val="hy-AM"/>
        </w:rPr>
        <w:t>ձևավոր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ում, </w:t>
      </w:r>
      <w:r w:rsidR="000A17CA" w:rsidRPr="00CC67B8">
        <w:rPr>
          <w:noProof/>
          <w:color w:val="000000"/>
          <w:sz w:val="24"/>
          <w:szCs w:val="24"/>
          <w:lang w:val="hy-AM"/>
        </w:rPr>
        <w:t xml:space="preserve">որի արդյունքում </w:t>
      </w:r>
      <w:r w:rsidR="000A17CA" w:rsidRPr="00CC67B8">
        <w:rPr>
          <w:rFonts w:eastAsia="Times New Roman"/>
          <w:noProof/>
          <w:color w:val="000000"/>
          <w:sz w:val="24"/>
          <w:szCs w:val="24"/>
          <w:lang w:val="hy-AM"/>
        </w:rPr>
        <w:t xml:space="preserve"> </w:t>
      </w:r>
      <w:r w:rsidR="00A96809" w:rsidRPr="00CC67B8">
        <w:rPr>
          <w:rStyle w:val="Strong"/>
          <w:b w:val="0"/>
          <w:noProof/>
          <w:sz w:val="24"/>
          <w:szCs w:val="24"/>
          <w:lang w:val="hy-AM"/>
        </w:rPr>
        <w:t>իրականաց</w:t>
      </w:r>
      <w:r w:rsidR="002571E3" w:rsidRPr="00CC67B8">
        <w:rPr>
          <w:rStyle w:val="Strong"/>
          <w:b w:val="0"/>
          <w:noProof/>
          <w:sz w:val="24"/>
          <w:szCs w:val="24"/>
          <w:lang w:val="hy-AM"/>
        </w:rPr>
        <w:t>վող պետական վերահսկողության</w:t>
      </w:r>
      <w:r w:rsidR="00A96809" w:rsidRPr="00CC67B8">
        <w:rPr>
          <w:rStyle w:val="Strong"/>
          <w:b w:val="0"/>
          <w:noProof/>
          <w:sz w:val="24"/>
          <w:szCs w:val="24"/>
          <w:lang w:val="hy-AM"/>
        </w:rPr>
        <w:t xml:space="preserve"> գործընթացը դառնում է </w:t>
      </w:r>
      <w:r w:rsidR="00A96809" w:rsidRPr="00CC67B8">
        <w:rPr>
          <w:noProof/>
          <w:color w:val="000000"/>
          <w:sz w:val="24"/>
          <w:szCs w:val="24"/>
          <w:lang w:val="hy-AM"/>
        </w:rPr>
        <w:t>արդյունավետ և հետևողական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, </w:t>
      </w:r>
      <w:r w:rsidR="00A96809" w:rsidRPr="00CC67B8">
        <w:rPr>
          <w:rStyle w:val="Strong"/>
          <w:b w:val="0"/>
          <w:noProof/>
          <w:sz w:val="24"/>
          <w:szCs w:val="24"/>
          <w:lang w:val="hy-AM"/>
        </w:rPr>
        <w:t>խնայվում են ռեսուրսները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, </w:t>
      </w:r>
      <w:r w:rsidRPr="00CC67B8">
        <w:rPr>
          <w:rFonts w:cs="Sylfaen"/>
          <w:noProof/>
          <w:sz w:val="24"/>
          <w:szCs w:val="24"/>
          <w:lang w:val="hy-AM"/>
        </w:rPr>
        <w:t>ինչպես նաև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 չ</w:t>
      </w:r>
      <w:r w:rsidR="008E208B" w:rsidRPr="00CC67B8">
        <w:rPr>
          <w:rStyle w:val="Strong"/>
          <w:b w:val="0"/>
          <w:noProof/>
          <w:sz w:val="24"/>
          <w:szCs w:val="24"/>
          <w:lang w:val="hy-AM"/>
        </w:rPr>
        <w:t>են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 </w:t>
      </w:r>
      <w:r w:rsidRPr="00CC67B8">
        <w:rPr>
          <w:noProof/>
          <w:color w:val="000000"/>
          <w:sz w:val="24"/>
          <w:szCs w:val="24"/>
          <w:lang w:val="hy-AM"/>
        </w:rPr>
        <w:t>խոչընդոտ</w:t>
      </w:r>
      <w:r w:rsidR="000A17CA" w:rsidRPr="00CC67B8">
        <w:rPr>
          <w:noProof/>
          <w:color w:val="000000"/>
          <w:sz w:val="24"/>
          <w:szCs w:val="24"/>
          <w:lang w:val="hy-AM"/>
        </w:rPr>
        <w:t>վ</w:t>
      </w:r>
      <w:r w:rsidR="002571E3" w:rsidRPr="00CC67B8">
        <w:rPr>
          <w:noProof/>
          <w:color w:val="000000"/>
          <w:sz w:val="24"/>
          <w:szCs w:val="24"/>
          <w:lang w:val="hy-AM"/>
        </w:rPr>
        <w:t>ում</w:t>
      </w:r>
      <w:r w:rsidRPr="00CC67B8">
        <w:rPr>
          <w:noProof/>
          <w:color w:val="000000"/>
          <w:sz w:val="24"/>
          <w:szCs w:val="24"/>
          <w:lang w:val="hy-AM"/>
        </w:rPr>
        <w:t xml:space="preserve"> տնտեսավարող սուբյեկտների իրավունքները և օրինական շահերը</w:t>
      </w:r>
      <w:r w:rsidRPr="00CC67B8">
        <w:rPr>
          <w:rStyle w:val="Strong"/>
          <w:b w:val="0"/>
          <w:noProof/>
          <w:sz w:val="24"/>
          <w:szCs w:val="24"/>
          <w:lang w:val="hy-AM"/>
        </w:rPr>
        <w:t xml:space="preserve">: </w:t>
      </w:r>
      <w:r w:rsidR="000A17CA" w:rsidRPr="00CC67B8">
        <w:rPr>
          <w:rStyle w:val="Strong"/>
          <w:b w:val="0"/>
          <w:noProof/>
          <w:sz w:val="24"/>
          <w:szCs w:val="24"/>
          <w:lang w:val="hy-AM"/>
        </w:rPr>
        <w:t xml:space="preserve"> </w:t>
      </w:r>
      <w:r w:rsidR="008E208B" w:rsidRPr="00CC67B8">
        <w:rPr>
          <w:rStyle w:val="Strong"/>
          <w:b w:val="0"/>
          <w:noProof/>
          <w:sz w:val="24"/>
          <w:szCs w:val="24"/>
          <w:lang w:val="hy-AM"/>
        </w:rPr>
        <w:t xml:space="preserve"> </w:t>
      </w:r>
    </w:p>
    <w:p w:rsidR="00AD61D4" w:rsidRPr="00CC67B8" w:rsidRDefault="00AD61D4" w:rsidP="0017025B">
      <w:pPr>
        <w:spacing w:after="0"/>
        <w:ind w:firstLine="708"/>
        <w:jc w:val="both"/>
        <w:rPr>
          <w:rStyle w:val="Strong"/>
          <w:b w:val="0"/>
          <w:noProof/>
          <w:sz w:val="24"/>
          <w:szCs w:val="24"/>
          <w:lang w:val="hy-AM"/>
        </w:rPr>
      </w:pPr>
    </w:p>
    <w:p w:rsidR="006776FD" w:rsidRPr="00CC67B8" w:rsidRDefault="006776FD" w:rsidP="0017025B">
      <w:pPr>
        <w:spacing w:before="100" w:beforeAutospacing="1" w:after="120"/>
        <w:ind w:firstLine="540"/>
        <w:jc w:val="both"/>
        <w:rPr>
          <w:rFonts w:eastAsia="Times New Roman" w:cs="Sylfaen"/>
          <w:bCs/>
          <w:noProof/>
          <w:sz w:val="24"/>
          <w:szCs w:val="24"/>
          <w:lang w:val="hy-AM"/>
        </w:rPr>
      </w:pPr>
    </w:p>
    <w:bookmarkEnd w:id="0"/>
    <w:p w:rsidR="00AD61D4" w:rsidRPr="00CC67B8" w:rsidRDefault="00AD61D4" w:rsidP="0017025B">
      <w:pPr>
        <w:spacing w:after="0"/>
        <w:ind w:firstLine="708"/>
        <w:jc w:val="both"/>
        <w:rPr>
          <w:rFonts w:eastAsia="Times New Roman" w:cs="Sylfaen"/>
          <w:noProof/>
          <w:color w:val="000000"/>
          <w:sz w:val="24"/>
          <w:szCs w:val="24"/>
          <w:lang w:val="hy-AM"/>
        </w:rPr>
      </w:pPr>
    </w:p>
    <w:sectPr w:rsidR="00AD61D4" w:rsidRPr="00CC67B8" w:rsidSect="000A17CA">
      <w:pgSz w:w="12240" w:h="15840"/>
      <w:pgMar w:top="630" w:right="90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A0548"/>
    <w:multiLevelType w:val="hybridMultilevel"/>
    <w:tmpl w:val="974A9432"/>
    <w:lvl w:ilvl="0" w:tplc="08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B33"/>
    <w:multiLevelType w:val="multilevel"/>
    <w:tmpl w:val="CDF02884"/>
    <w:lvl w:ilvl="0">
      <w:start w:val="1"/>
      <w:numFmt w:val="decimal"/>
      <w:lvlText w:val="%1"/>
      <w:lvlJc w:val="left"/>
      <w:pPr>
        <w:ind w:left="360" w:hanging="360"/>
      </w:pPr>
      <w:rPr>
        <w:rFonts w:cs="Arial Unicode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 Unicode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 Unicode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 Unicode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 Unicode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 Unicode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 Unicode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 Unicode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 Unicode" w:hint="default"/>
      </w:rPr>
    </w:lvl>
  </w:abstractNum>
  <w:abstractNum w:abstractNumId="2" w15:restartNumberingAfterBreak="0">
    <w:nsid w:val="1AA431DE"/>
    <w:multiLevelType w:val="hybridMultilevel"/>
    <w:tmpl w:val="C054026E"/>
    <w:lvl w:ilvl="0" w:tplc="5590D7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A3545"/>
    <w:multiLevelType w:val="hybridMultilevel"/>
    <w:tmpl w:val="849251D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5EE0"/>
    <w:multiLevelType w:val="multilevel"/>
    <w:tmpl w:val="B54C9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F534A1A"/>
    <w:multiLevelType w:val="hybridMultilevel"/>
    <w:tmpl w:val="446677AA"/>
    <w:lvl w:ilvl="0" w:tplc="28360DB4">
      <w:start w:val="1"/>
      <w:numFmt w:val="decimal"/>
      <w:pStyle w:val="Normal1"/>
      <w:lvlText w:val="%1."/>
      <w:lvlJc w:val="left"/>
      <w:pPr>
        <w:ind w:left="1353" w:hanging="360"/>
      </w:pPr>
      <w:rPr>
        <w:b w:val="0"/>
        <w:i w:val="0"/>
        <w:color w:val="auto"/>
        <w:lang w:val="hy-AM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6643F"/>
    <w:multiLevelType w:val="hybridMultilevel"/>
    <w:tmpl w:val="0AA4932E"/>
    <w:lvl w:ilvl="0" w:tplc="0409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)"/>
      <w:lvlJc w:val="left"/>
      <w:pPr>
        <w:ind w:left="1352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0357"/>
    <w:multiLevelType w:val="hybridMultilevel"/>
    <w:tmpl w:val="DBCE30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D5E99"/>
    <w:multiLevelType w:val="hybridMultilevel"/>
    <w:tmpl w:val="DB106FE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6B"/>
    <w:rsid w:val="00005673"/>
    <w:rsid w:val="00033A44"/>
    <w:rsid w:val="00067C9C"/>
    <w:rsid w:val="000905EA"/>
    <w:rsid w:val="000A17CA"/>
    <w:rsid w:val="000B2C65"/>
    <w:rsid w:val="000B768A"/>
    <w:rsid w:val="000C6A29"/>
    <w:rsid w:val="000D7598"/>
    <w:rsid w:val="00102FAB"/>
    <w:rsid w:val="00104206"/>
    <w:rsid w:val="00113400"/>
    <w:rsid w:val="00116FE2"/>
    <w:rsid w:val="001354AA"/>
    <w:rsid w:val="001412A5"/>
    <w:rsid w:val="001558BB"/>
    <w:rsid w:val="0017025B"/>
    <w:rsid w:val="001A5538"/>
    <w:rsid w:val="001B097C"/>
    <w:rsid w:val="001C6A2A"/>
    <w:rsid w:val="001E6B71"/>
    <w:rsid w:val="001E6E07"/>
    <w:rsid w:val="001F0530"/>
    <w:rsid w:val="00215CCC"/>
    <w:rsid w:val="00220626"/>
    <w:rsid w:val="00231C57"/>
    <w:rsid w:val="00246F59"/>
    <w:rsid w:val="002571E3"/>
    <w:rsid w:val="0027595D"/>
    <w:rsid w:val="00284920"/>
    <w:rsid w:val="00292CD2"/>
    <w:rsid w:val="0029495F"/>
    <w:rsid w:val="002C0399"/>
    <w:rsid w:val="002D1DE3"/>
    <w:rsid w:val="002E474C"/>
    <w:rsid w:val="002F1F7B"/>
    <w:rsid w:val="00316A58"/>
    <w:rsid w:val="00360687"/>
    <w:rsid w:val="0037359C"/>
    <w:rsid w:val="00380424"/>
    <w:rsid w:val="0038376E"/>
    <w:rsid w:val="00383A2C"/>
    <w:rsid w:val="003A2294"/>
    <w:rsid w:val="003C2FEB"/>
    <w:rsid w:val="003C3184"/>
    <w:rsid w:val="003C6864"/>
    <w:rsid w:val="003E31AF"/>
    <w:rsid w:val="003F7A62"/>
    <w:rsid w:val="00401CE4"/>
    <w:rsid w:val="00411C97"/>
    <w:rsid w:val="00414AB2"/>
    <w:rsid w:val="00421EDB"/>
    <w:rsid w:val="00462DE8"/>
    <w:rsid w:val="0046536F"/>
    <w:rsid w:val="00474E87"/>
    <w:rsid w:val="004768E8"/>
    <w:rsid w:val="004A2ADA"/>
    <w:rsid w:val="004B1D0C"/>
    <w:rsid w:val="004B4F64"/>
    <w:rsid w:val="004B5FBA"/>
    <w:rsid w:val="004D2EDF"/>
    <w:rsid w:val="004E6A21"/>
    <w:rsid w:val="004F068C"/>
    <w:rsid w:val="0052743E"/>
    <w:rsid w:val="005476E9"/>
    <w:rsid w:val="00550ACC"/>
    <w:rsid w:val="00557246"/>
    <w:rsid w:val="00560AE9"/>
    <w:rsid w:val="00562BEE"/>
    <w:rsid w:val="00564AB6"/>
    <w:rsid w:val="005705E0"/>
    <w:rsid w:val="005735CA"/>
    <w:rsid w:val="005C7FCC"/>
    <w:rsid w:val="005D03DB"/>
    <w:rsid w:val="005E7A9E"/>
    <w:rsid w:val="005F42A3"/>
    <w:rsid w:val="00634B44"/>
    <w:rsid w:val="006627B0"/>
    <w:rsid w:val="006776FD"/>
    <w:rsid w:val="00690909"/>
    <w:rsid w:val="00695D39"/>
    <w:rsid w:val="006A1455"/>
    <w:rsid w:val="006A56BA"/>
    <w:rsid w:val="006C3239"/>
    <w:rsid w:val="006E5554"/>
    <w:rsid w:val="00720296"/>
    <w:rsid w:val="0072534C"/>
    <w:rsid w:val="00730199"/>
    <w:rsid w:val="00731659"/>
    <w:rsid w:val="007406C7"/>
    <w:rsid w:val="00755350"/>
    <w:rsid w:val="007624F0"/>
    <w:rsid w:val="00762A00"/>
    <w:rsid w:val="007639AA"/>
    <w:rsid w:val="0076447E"/>
    <w:rsid w:val="007679EE"/>
    <w:rsid w:val="0079374A"/>
    <w:rsid w:val="007B2C64"/>
    <w:rsid w:val="007C4176"/>
    <w:rsid w:val="007C6C3F"/>
    <w:rsid w:val="007F3128"/>
    <w:rsid w:val="007F6A47"/>
    <w:rsid w:val="007F6AFB"/>
    <w:rsid w:val="00810BFC"/>
    <w:rsid w:val="008150B2"/>
    <w:rsid w:val="008278F9"/>
    <w:rsid w:val="008435B7"/>
    <w:rsid w:val="00871F0C"/>
    <w:rsid w:val="0087691D"/>
    <w:rsid w:val="00883F3A"/>
    <w:rsid w:val="008944F6"/>
    <w:rsid w:val="008A3629"/>
    <w:rsid w:val="008B24A3"/>
    <w:rsid w:val="008B5020"/>
    <w:rsid w:val="008E208B"/>
    <w:rsid w:val="00900028"/>
    <w:rsid w:val="00915F87"/>
    <w:rsid w:val="0091683B"/>
    <w:rsid w:val="00922413"/>
    <w:rsid w:val="00926C0E"/>
    <w:rsid w:val="00951243"/>
    <w:rsid w:val="00951F24"/>
    <w:rsid w:val="00955C73"/>
    <w:rsid w:val="00962F15"/>
    <w:rsid w:val="00985199"/>
    <w:rsid w:val="009A45DF"/>
    <w:rsid w:val="009C043E"/>
    <w:rsid w:val="009D7079"/>
    <w:rsid w:val="009D73EB"/>
    <w:rsid w:val="009E36C3"/>
    <w:rsid w:val="009E6F08"/>
    <w:rsid w:val="00A0683E"/>
    <w:rsid w:val="00A06FB7"/>
    <w:rsid w:val="00A14FA2"/>
    <w:rsid w:val="00A20595"/>
    <w:rsid w:val="00A216F6"/>
    <w:rsid w:val="00A34FF4"/>
    <w:rsid w:val="00A35809"/>
    <w:rsid w:val="00A43F42"/>
    <w:rsid w:val="00A44091"/>
    <w:rsid w:val="00A518DA"/>
    <w:rsid w:val="00A662A8"/>
    <w:rsid w:val="00A75B49"/>
    <w:rsid w:val="00A771C6"/>
    <w:rsid w:val="00A92375"/>
    <w:rsid w:val="00A95723"/>
    <w:rsid w:val="00A96809"/>
    <w:rsid w:val="00AA0E4F"/>
    <w:rsid w:val="00AB3AA6"/>
    <w:rsid w:val="00AB4AC0"/>
    <w:rsid w:val="00AB5452"/>
    <w:rsid w:val="00AB76B6"/>
    <w:rsid w:val="00AC4075"/>
    <w:rsid w:val="00AD61D4"/>
    <w:rsid w:val="00AE3100"/>
    <w:rsid w:val="00AE600D"/>
    <w:rsid w:val="00B16293"/>
    <w:rsid w:val="00B3679A"/>
    <w:rsid w:val="00B6498A"/>
    <w:rsid w:val="00B71A79"/>
    <w:rsid w:val="00B81773"/>
    <w:rsid w:val="00B830C5"/>
    <w:rsid w:val="00B83D62"/>
    <w:rsid w:val="00B9146B"/>
    <w:rsid w:val="00B92834"/>
    <w:rsid w:val="00BD0A76"/>
    <w:rsid w:val="00BD231D"/>
    <w:rsid w:val="00BD5548"/>
    <w:rsid w:val="00BF1281"/>
    <w:rsid w:val="00C1099B"/>
    <w:rsid w:val="00C1190F"/>
    <w:rsid w:val="00C25733"/>
    <w:rsid w:val="00C26C18"/>
    <w:rsid w:val="00C32DA9"/>
    <w:rsid w:val="00C46AA0"/>
    <w:rsid w:val="00C46F7F"/>
    <w:rsid w:val="00C506D6"/>
    <w:rsid w:val="00C7780C"/>
    <w:rsid w:val="00CA09D9"/>
    <w:rsid w:val="00CA43CF"/>
    <w:rsid w:val="00CA60FF"/>
    <w:rsid w:val="00CC67B8"/>
    <w:rsid w:val="00CD2010"/>
    <w:rsid w:val="00CD7391"/>
    <w:rsid w:val="00CE6B29"/>
    <w:rsid w:val="00D1753F"/>
    <w:rsid w:val="00D25448"/>
    <w:rsid w:val="00D31C67"/>
    <w:rsid w:val="00D45BD0"/>
    <w:rsid w:val="00D56B42"/>
    <w:rsid w:val="00D93D06"/>
    <w:rsid w:val="00DA1B33"/>
    <w:rsid w:val="00DC51B0"/>
    <w:rsid w:val="00DC57BB"/>
    <w:rsid w:val="00DC5F54"/>
    <w:rsid w:val="00DD0260"/>
    <w:rsid w:val="00DE1D84"/>
    <w:rsid w:val="00DF0A76"/>
    <w:rsid w:val="00DF16B8"/>
    <w:rsid w:val="00E00652"/>
    <w:rsid w:val="00E070E7"/>
    <w:rsid w:val="00E142B5"/>
    <w:rsid w:val="00E30E3D"/>
    <w:rsid w:val="00E34394"/>
    <w:rsid w:val="00E61363"/>
    <w:rsid w:val="00E665D9"/>
    <w:rsid w:val="00E70E37"/>
    <w:rsid w:val="00E747AA"/>
    <w:rsid w:val="00E9543F"/>
    <w:rsid w:val="00EA1BEA"/>
    <w:rsid w:val="00EA3B90"/>
    <w:rsid w:val="00EB4F7C"/>
    <w:rsid w:val="00EC03FD"/>
    <w:rsid w:val="00ED1C7B"/>
    <w:rsid w:val="00ED520E"/>
    <w:rsid w:val="00ED7E6D"/>
    <w:rsid w:val="00EF5E9D"/>
    <w:rsid w:val="00F0124C"/>
    <w:rsid w:val="00F1153D"/>
    <w:rsid w:val="00F33DD9"/>
    <w:rsid w:val="00F43409"/>
    <w:rsid w:val="00F50BC5"/>
    <w:rsid w:val="00F53AB8"/>
    <w:rsid w:val="00F5625B"/>
    <w:rsid w:val="00F6740A"/>
    <w:rsid w:val="00F72894"/>
    <w:rsid w:val="00FB6FCE"/>
    <w:rsid w:val="00FC6182"/>
    <w:rsid w:val="00FC7811"/>
    <w:rsid w:val="00FD1061"/>
    <w:rsid w:val="00FD3769"/>
    <w:rsid w:val="00FE311E"/>
    <w:rsid w:val="00FF045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5EF5F-972C-44F8-B9F0-045182D0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46B"/>
    <w:pPr>
      <w:spacing w:after="200" w:line="276" w:lineRule="auto"/>
    </w:pPr>
    <w:rPr>
      <w:rFonts w:ascii="GHEA Grapalat" w:hAnsi="GHEA Grapalat"/>
      <w:sz w:val="22"/>
      <w:szCs w:val="22"/>
      <w:lang w:val="en-US" w:eastAsia="en-US"/>
    </w:rPr>
  </w:style>
  <w:style w:type="paragraph" w:styleId="Heading3">
    <w:name w:val="heading 3"/>
    <w:aliases w:val="3. Überschrift"/>
    <w:basedOn w:val="Normal"/>
    <w:next w:val="Normal"/>
    <w:link w:val="Heading3Char"/>
    <w:autoRedefine/>
    <w:uiPriority w:val="9"/>
    <w:qFormat/>
    <w:rsid w:val="006627B0"/>
    <w:pPr>
      <w:keepNext/>
      <w:keepLines/>
      <w:widowControl w:val="0"/>
      <w:adjustRightInd w:val="0"/>
      <w:spacing w:before="480" w:after="480" w:line="360" w:lineRule="atLeast"/>
      <w:ind w:left="357"/>
      <w:jc w:val="center"/>
      <w:textAlignment w:val="baseline"/>
      <w:outlineLvl w:val="2"/>
    </w:pPr>
    <w:rPr>
      <w:rFonts w:eastAsia="SimSun"/>
      <w:b/>
      <w:bCs/>
      <w:sz w:val="24"/>
      <w:szCs w:val="24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1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B9146B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771C6"/>
    <w:pPr>
      <w:ind w:left="720"/>
      <w:contextualSpacing/>
    </w:pPr>
  </w:style>
  <w:style w:type="paragraph" w:customStyle="1" w:styleId="Normal2">
    <w:name w:val="Normal 2"/>
    <w:basedOn w:val="NoSpacing"/>
    <w:autoRedefine/>
    <w:uiPriority w:val="99"/>
    <w:qFormat/>
    <w:rsid w:val="0091683B"/>
    <w:pPr>
      <w:widowControl w:val="0"/>
      <w:tabs>
        <w:tab w:val="left" w:pos="-426"/>
      </w:tabs>
      <w:adjustRightInd w:val="0"/>
      <w:spacing w:before="120" w:line="360" w:lineRule="atLeast"/>
      <w:jc w:val="center"/>
      <w:textAlignment w:val="baseline"/>
    </w:pPr>
    <w:rPr>
      <w:rFonts w:eastAsia="Times New Roman" w:cs="Sylfaen"/>
      <w:b/>
      <w:bCs/>
      <w:color w:val="000000"/>
      <w:sz w:val="24"/>
      <w:szCs w:val="24"/>
      <w:lang w:val="lt-LT"/>
    </w:rPr>
  </w:style>
  <w:style w:type="paragraph" w:styleId="NoSpacing">
    <w:name w:val="No Spacing"/>
    <w:uiPriority w:val="1"/>
    <w:qFormat/>
    <w:rsid w:val="00A771C6"/>
    <w:rPr>
      <w:rFonts w:ascii="GHEA Grapalat" w:hAnsi="GHEA Grapalat"/>
      <w:sz w:val="22"/>
      <w:szCs w:val="22"/>
      <w:lang w:val="en-US"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9"/>
    <w:rsid w:val="006627B0"/>
    <w:rPr>
      <w:rFonts w:ascii="GHEA Grapalat" w:eastAsia="SimSun" w:hAnsi="GHEA Grapalat"/>
      <w:b/>
      <w:bCs/>
      <w:sz w:val="24"/>
      <w:szCs w:val="24"/>
      <w:lang w:val="hy-AM" w:eastAsia="x-none"/>
    </w:rPr>
  </w:style>
  <w:style w:type="paragraph" w:customStyle="1" w:styleId="Normal1">
    <w:name w:val="Normal1"/>
    <w:aliases w:val="Normal 1"/>
    <w:next w:val="Normal"/>
    <w:autoRedefine/>
    <w:qFormat/>
    <w:rsid w:val="006627B0"/>
    <w:pPr>
      <w:widowControl w:val="0"/>
      <w:numPr>
        <w:numId w:val="4"/>
      </w:numPr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character" w:customStyle="1" w:styleId="apple-converted-space">
    <w:name w:val="apple-converted-space"/>
    <w:basedOn w:val="DefaultParagraphFont"/>
    <w:rsid w:val="00955C73"/>
  </w:style>
  <w:style w:type="character" w:styleId="Strong">
    <w:name w:val="Strong"/>
    <w:basedOn w:val="DefaultParagraphFont"/>
    <w:uiPriority w:val="22"/>
    <w:qFormat/>
    <w:rsid w:val="00231C5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538AE-8451-4793-98A1-CC3D96BA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Syuzanna Gevorgyan</cp:lastModifiedBy>
  <cp:revision>2</cp:revision>
  <dcterms:created xsi:type="dcterms:W3CDTF">2019-08-01T09:01:00Z</dcterms:created>
  <dcterms:modified xsi:type="dcterms:W3CDTF">2019-08-01T09:01:00Z</dcterms:modified>
</cp:coreProperties>
</file>