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1A1483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59001C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«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ՀԱՅԱՍՏԱՆԻ ՀԱՆՐԱՊԵՏՈՒԹՅԱՆ ՀԱՆՐԱՅԻՆ ԾԱՌԱՅՈՒԹՅՈՒՆՆԵՐԸ ԿԱՐԳԱՎՈՐՈՂ ՀԱՆՁՆԱԺՈՂՈՎԻ 2006 ԹՎԱԿԱՆԻ ԴԵԿՏԵՄԲԵՐԻ 27-Ի №358Ն ՈՐՈՇՄԱՆ ՄԵՋ ՓՈՓՈԽՈՒԹՅՈՒՆՆԵՐ</w:t>
      </w:r>
      <w:r w:rsidR="004B1F8E">
        <w:rPr>
          <w:rFonts w:ascii="Sylfaen" w:hAnsi="Sylfaen" w:cs="ArTarumianTimes"/>
          <w:sz w:val="24"/>
          <w:szCs w:val="24"/>
          <w:shd w:val="clear" w:color="auto" w:fill="FFFFFF"/>
        </w:rPr>
        <w:t xml:space="preserve"> 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ԿԱՏԱՐԵԼՈՒ ՄԱՍԻՆ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» 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5609D8" w:rsidRDefault="005609D8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</w:p>
    <w:p w:rsidR="0059001C" w:rsidRPr="001A1483" w:rsidRDefault="00B472FD" w:rsidP="0059001C">
      <w:pPr>
        <w:pStyle w:val="ListParagraph"/>
        <w:numPr>
          <w:ilvl w:val="0"/>
          <w:numId w:val="1"/>
        </w:numPr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Իրավական ակտի</w:t>
      </w:r>
      <w:r w:rsidR="00407AF1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 xml:space="preserve"> ընդունման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</w:t>
      </w:r>
      <w:r w:rsidR="0059001C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նհրաժեշտությունը</w:t>
      </w:r>
    </w:p>
    <w:p w:rsidR="0059001C" w:rsidRDefault="00B472FD" w:rsidP="0059001C">
      <w:pPr>
        <w:ind w:firstLine="36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«Հայաստանի Հանրապետության հանրային ծառայությունները կարգավորող հանձնաժողովի 2006 թվականի դեկտեմբերի 27-ի №358Ն որոշման մեջ փոփոխություններ» ՀՀ հանրային ծառայությունները կարգավորող հանձնաժողովի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 (այսուհետ՝ նախագիծ)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 ընդունումը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պայմանավորված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326D62" w:rsidRPr="001A1483">
        <w:rPr>
          <w:rFonts w:ascii="Sylfaen" w:hAnsi="Sylfaen" w:cs="Sylfaen"/>
          <w:sz w:val="24"/>
          <w:szCs w:val="24"/>
        </w:rPr>
        <w:t xml:space="preserve">նոր սպառողի կամ սպառողի վերակառուցվող սպառման համակարգն էլեկտրական ցանցին միացման գործընթացի բարելավման </w:t>
      </w:r>
      <w:r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անհրաժեշտությամբ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:</w:t>
      </w:r>
    </w:p>
    <w:p w:rsidR="0059001C" w:rsidRPr="001A148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Ընթացիկ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իրավիճակը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խնդիրները</w:t>
      </w:r>
    </w:p>
    <w:p w:rsidR="00625EB6" w:rsidRPr="001A1483" w:rsidRDefault="00625EB6" w:rsidP="005609D8">
      <w:pPr>
        <w:pStyle w:val="mechtex"/>
        <w:spacing w:line="276" w:lineRule="auto"/>
        <w:ind w:firstLine="360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1A1483">
        <w:rPr>
          <w:rFonts w:ascii="Sylfaen" w:hAnsi="Sylfaen" w:cs="Sylfaen"/>
          <w:color w:val="131313"/>
          <w:sz w:val="24"/>
          <w:szCs w:val="24"/>
          <w:lang w:val="hy-AM"/>
        </w:rPr>
        <w:t>Համաշխարհային</w:t>
      </w:r>
      <w:r w:rsidRPr="001A1483">
        <w:rPr>
          <w:rFonts w:ascii="Sylfaen" w:hAnsi="Sylfaen" w:cs="Helvetica"/>
          <w:color w:val="131313"/>
          <w:sz w:val="24"/>
          <w:szCs w:val="24"/>
          <w:lang w:val="hy-AM"/>
        </w:rPr>
        <w:t xml:space="preserve"> </w:t>
      </w:r>
      <w:r w:rsidRPr="001A1483">
        <w:rPr>
          <w:rFonts w:ascii="Sylfaen" w:hAnsi="Sylfaen" w:cs="Sylfaen"/>
          <w:color w:val="131313"/>
          <w:sz w:val="24"/>
          <w:szCs w:val="24"/>
          <w:lang w:val="hy-AM"/>
        </w:rPr>
        <w:t>բանկը յուրաքանչյուր տարի</w:t>
      </w:r>
      <w:r w:rsidRPr="001A1483">
        <w:rPr>
          <w:rFonts w:ascii="Sylfaen" w:hAnsi="Sylfaen" w:cs="Helvetica"/>
          <w:color w:val="131313"/>
          <w:sz w:val="24"/>
          <w:szCs w:val="24"/>
          <w:lang w:val="hy-AM"/>
        </w:rPr>
        <w:t xml:space="preserve"> հրապարակում է «</w:t>
      </w:r>
      <w:r w:rsidRPr="001A1483">
        <w:rPr>
          <w:rFonts w:ascii="Sylfaen" w:hAnsi="Sylfaen" w:cs="Sylfaen"/>
          <w:color w:val="131313"/>
          <w:sz w:val="24"/>
          <w:szCs w:val="24"/>
          <w:lang w:val="hy-AM"/>
        </w:rPr>
        <w:t>Գործարարությամբ</w:t>
      </w:r>
      <w:r w:rsidRPr="001A1483">
        <w:rPr>
          <w:rFonts w:ascii="Sylfaen" w:hAnsi="Sylfaen" w:cs="Helvetica"/>
          <w:color w:val="131313"/>
          <w:sz w:val="24"/>
          <w:szCs w:val="24"/>
          <w:lang w:val="hy-AM"/>
        </w:rPr>
        <w:t xml:space="preserve"> </w:t>
      </w:r>
      <w:r w:rsidRPr="001A1483">
        <w:rPr>
          <w:rFonts w:ascii="Sylfaen" w:hAnsi="Sylfaen" w:cs="Sylfaen"/>
          <w:color w:val="131313"/>
          <w:sz w:val="24"/>
          <w:szCs w:val="24"/>
          <w:lang w:val="hy-AM"/>
        </w:rPr>
        <w:t>զբաղվելը</w:t>
      </w:r>
      <w:r w:rsidRPr="001A1483">
        <w:rPr>
          <w:rFonts w:ascii="Sylfaen" w:hAnsi="Sylfaen" w:cs="Helvetica"/>
          <w:color w:val="131313"/>
          <w:sz w:val="24"/>
          <w:szCs w:val="24"/>
          <w:lang w:val="hy-AM"/>
        </w:rPr>
        <w:t xml:space="preserve">» </w:t>
      </w:r>
      <w:r w:rsidRPr="001A1483">
        <w:rPr>
          <w:rFonts w:ascii="Sylfaen" w:hAnsi="Sylfaen" w:cs="Sylfaen"/>
          <w:color w:val="131313"/>
          <w:sz w:val="24"/>
          <w:szCs w:val="24"/>
          <w:lang w:val="hy-AM"/>
        </w:rPr>
        <w:t>զեկույցը, որի նպատակն է գնահատել</w:t>
      </w:r>
      <w:r w:rsidRPr="001A1483">
        <w:rPr>
          <w:rFonts w:ascii="Sylfaen" w:hAnsi="Sylfaen" w:cs="Helvetica"/>
          <w:color w:val="131313"/>
          <w:sz w:val="24"/>
          <w:szCs w:val="24"/>
          <w:lang w:val="hy-AM"/>
        </w:rPr>
        <w:t xml:space="preserve"> </w:t>
      </w:r>
      <w:r w:rsidRPr="001A1483">
        <w:rPr>
          <w:rFonts w:ascii="Sylfaen" w:hAnsi="Sylfaen" w:cs="Sylfaen"/>
          <w:color w:val="131313"/>
          <w:sz w:val="24"/>
          <w:szCs w:val="24"/>
          <w:lang w:val="hy-AM"/>
        </w:rPr>
        <w:t xml:space="preserve">190 երկրների </w:t>
      </w:r>
      <w:r w:rsidRPr="001A1483">
        <w:rPr>
          <w:rFonts w:ascii="Sylfaen" w:hAnsi="Sylfaen" w:cs="Helvetica"/>
          <w:color w:val="131313"/>
          <w:sz w:val="24"/>
          <w:szCs w:val="24"/>
          <w:lang w:val="hy-AM"/>
        </w:rPr>
        <w:t xml:space="preserve">գործարար միջավայրի վրա </w:t>
      </w:r>
      <w:r w:rsidR="001A1483" w:rsidRPr="001A1483">
        <w:rPr>
          <w:rFonts w:ascii="Sylfaen" w:hAnsi="Sylfaen" w:cs="Helvetica"/>
          <w:color w:val="131313"/>
          <w:sz w:val="24"/>
          <w:szCs w:val="24"/>
          <w:lang w:val="hy-AM"/>
        </w:rPr>
        <w:t>ուղղակիորեն</w:t>
      </w:r>
      <w:r w:rsidRPr="001A1483">
        <w:rPr>
          <w:rFonts w:ascii="Sylfaen" w:hAnsi="Sylfaen" w:cs="Helvetica"/>
          <w:color w:val="131313"/>
          <w:sz w:val="24"/>
          <w:szCs w:val="24"/>
          <w:lang w:val="hy-AM"/>
        </w:rPr>
        <w:t xml:space="preserve"> ազդող </w:t>
      </w:r>
      <w:r w:rsidRPr="001A1483">
        <w:rPr>
          <w:rFonts w:ascii="Sylfaen" w:hAnsi="Sylfaen" w:cs="Sylfaen"/>
          <w:color w:val="131313"/>
          <w:sz w:val="24"/>
          <w:szCs w:val="24"/>
          <w:lang w:val="hy-AM"/>
        </w:rPr>
        <w:t>կարգավորումները։ Գ</w:t>
      </w:r>
      <w:r w:rsidRPr="001A1483">
        <w:rPr>
          <w:rFonts w:ascii="Sylfaen" w:hAnsi="Sylfaen" w:cs="Sylfaen"/>
          <w:color w:val="000000"/>
          <w:sz w:val="24"/>
          <w:szCs w:val="24"/>
          <w:lang w:val="hy-AM"/>
        </w:rPr>
        <w:t xml:space="preserve">նահատումը կատարվում է 10 ոլորտներում, որոնցից մեկը «էլեկտրականության միացում» ցուցիչն է, ինչն էլ բնութագրվում է նոր սպառողների սպառման համակարգերն էլեկտրական ցանցին միացման գործընթացների քանակով, դրանց տևողությամբ, միացման վճարի մեծությամբ, ինչպես նաև սպասարկման որակի ցուցանիշներով: </w:t>
      </w:r>
    </w:p>
    <w:p w:rsidR="00FC6B86" w:rsidRPr="001A1483" w:rsidRDefault="005609D8" w:rsidP="005609D8">
      <w:pPr>
        <w:tabs>
          <w:tab w:val="left" w:pos="426"/>
        </w:tabs>
        <w:spacing w:after="0"/>
        <w:jc w:val="both"/>
        <w:rPr>
          <w:rFonts w:ascii="Sylfaen" w:hAnsi="Sylfaen" w:cs="Helvetica"/>
          <w:color w:val="131313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ab/>
      </w:r>
      <w:r w:rsidR="00625EB6" w:rsidRPr="001A1483">
        <w:rPr>
          <w:rFonts w:ascii="Sylfaen" w:hAnsi="Sylfaen" w:cs="Sylfaen"/>
          <w:color w:val="000000"/>
          <w:sz w:val="24"/>
          <w:szCs w:val="24"/>
        </w:rPr>
        <w:t xml:space="preserve">Նախագծի ընդունմամբ </w:t>
      </w:r>
      <w:r w:rsidR="00FC6B86" w:rsidRPr="001A1483">
        <w:rPr>
          <w:rFonts w:ascii="Sylfaen" w:hAnsi="Sylfaen" w:cs="Sylfaen"/>
          <w:color w:val="000000"/>
          <w:sz w:val="24"/>
          <w:szCs w:val="24"/>
        </w:rPr>
        <w:t xml:space="preserve">կբարելավվի Հայաստանի Հանրապետության դիրքը՝ </w:t>
      </w:r>
      <w:r w:rsidR="00625EB6" w:rsidRPr="001A1483">
        <w:rPr>
          <w:rFonts w:ascii="Sylfaen" w:hAnsi="Sylfaen" w:cs="Sylfaen"/>
          <w:color w:val="000000"/>
          <w:sz w:val="24"/>
          <w:szCs w:val="24"/>
        </w:rPr>
        <w:t xml:space="preserve">նշված զեկույցի «Էլեկտրականության միացում» ցուցիչի մասով: </w:t>
      </w:r>
    </w:p>
    <w:p w:rsidR="00FC6B86" w:rsidRPr="001A1483" w:rsidRDefault="00FC6B86" w:rsidP="00FC6B86">
      <w:pPr>
        <w:tabs>
          <w:tab w:val="left" w:pos="1245"/>
        </w:tabs>
        <w:spacing w:after="0"/>
        <w:jc w:val="both"/>
        <w:rPr>
          <w:rFonts w:ascii="Sylfaen" w:hAnsi="Sylfaen" w:cs="Helvetica"/>
          <w:color w:val="131313"/>
          <w:sz w:val="24"/>
          <w:szCs w:val="24"/>
        </w:rPr>
      </w:pPr>
      <w:r w:rsidRPr="001A1483">
        <w:rPr>
          <w:rFonts w:ascii="Sylfaen" w:hAnsi="Sylfaen" w:cs="Helvetica"/>
          <w:color w:val="131313"/>
          <w:sz w:val="24"/>
          <w:szCs w:val="24"/>
        </w:rPr>
        <w:t>Տվյալ բնագավառում իրականացվող քաղաքականության փոփոխություն չի նախատեսվում:</w:t>
      </w:r>
    </w:p>
    <w:p w:rsidR="00762F1F" w:rsidRPr="001A1483" w:rsidRDefault="00762F1F" w:rsidP="00FC6B86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Կարգավորման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նպատակը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բնույթը</w:t>
      </w:r>
    </w:p>
    <w:p w:rsidR="00FC6B86" w:rsidRPr="001A1483" w:rsidRDefault="005609D8" w:rsidP="005609D8">
      <w:pPr>
        <w:tabs>
          <w:tab w:val="left" w:pos="426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ab/>
      </w:r>
      <w:r w:rsidR="00625EB6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Նախագծի նպատակը</w:t>
      </w:r>
      <w:r w:rsidR="00326D62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նոր սպառման համակարգն</w:t>
      </w: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էլեկտրամատակարարմամբ ապահովելու </w:t>
      </w:r>
      <w:r w:rsidR="00762F1F">
        <w:rPr>
          <w:rFonts w:ascii="Sylfaen" w:hAnsi="Sylfaen"/>
          <w:color w:val="000000"/>
          <w:sz w:val="24"/>
          <w:szCs w:val="24"/>
        </w:rPr>
        <w:t xml:space="preserve">սահմանված </w:t>
      </w:r>
      <w:r w:rsidR="004B1F8E">
        <w:rPr>
          <w:rFonts w:ascii="Sylfaen" w:hAnsi="Sylfaen"/>
          <w:color w:val="000000"/>
          <w:sz w:val="24"/>
          <w:szCs w:val="24"/>
        </w:rPr>
        <w:t>ժամկետ</w:t>
      </w:r>
      <w:r w:rsidR="00762F1F">
        <w:rPr>
          <w:rFonts w:ascii="Sylfaen" w:hAnsi="Sylfaen"/>
          <w:color w:val="000000"/>
          <w:sz w:val="24"/>
          <w:szCs w:val="24"/>
        </w:rPr>
        <w:t>ներ</w:t>
      </w:r>
      <w:r w:rsidR="004B1F8E">
        <w:rPr>
          <w:rFonts w:ascii="Sylfaen" w:hAnsi="Sylfaen"/>
          <w:color w:val="000000"/>
          <w:sz w:val="24"/>
          <w:szCs w:val="24"/>
        </w:rPr>
        <w:t>ի կրճատում</w:t>
      </w:r>
      <w:r>
        <w:rPr>
          <w:rFonts w:ascii="Sylfaen" w:hAnsi="Sylfaen"/>
          <w:color w:val="000000"/>
          <w:sz w:val="24"/>
          <w:szCs w:val="24"/>
        </w:rPr>
        <w:t>ն է</w:t>
      </w:r>
      <w:r w:rsidR="00326D62" w:rsidRPr="001A1483">
        <w:rPr>
          <w:rFonts w:ascii="Sylfaen" w:hAnsi="Sylfaen"/>
          <w:color w:val="000000"/>
          <w:kern w:val="28"/>
          <w:sz w:val="24"/>
          <w:szCs w:val="24"/>
        </w:rPr>
        <w:t>։</w:t>
      </w:r>
    </w:p>
    <w:p w:rsidR="00C9362A" w:rsidRDefault="00C9362A" w:rsidP="00625EB6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lastRenderedPageBreak/>
        <w:t>Նախագծի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մշակման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գործընթացում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ներգրավված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ինստիտուտները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softHyphen/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ձինք</w:t>
      </w:r>
    </w:p>
    <w:p w:rsidR="0059001C" w:rsidRDefault="005609D8" w:rsidP="005609D8">
      <w:pPr>
        <w:tabs>
          <w:tab w:val="left" w:pos="426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>
        <w:rPr>
          <w:rFonts w:ascii="Sylfaen" w:eastAsia="Times New Roman" w:hAnsi="Sylfaen" w:cs="Sylfaen"/>
          <w:sz w:val="24"/>
          <w:szCs w:val="24"/>
          <w:lang w:eastAsia="ru-RU"/>
        </w:rPr>
        <w:tab/>
      </w:r>
      <w:r w:rsidR="00625EB6" w:rsidRPr="001A1483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ախագիծը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մշակ</w:t>
      </w:r>
      <w:r w:rsidR="00625EB6" w:rsidRPr="001A1483">
        <w:rPr>
          <w:rFonts w:ascii="Sylfaen" w:eastAsia="Times New Roman" w:hAnsi="Sylfaen" w:cs="Sylfaen"/>
          <w:sz w:val="24"/>
          <w:szCs w:val="24"/>
          <w:lang w:eastAsia="ru-RU"/>
        </w:rPr>
        <w:t>վ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ել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այաստանի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անրապետության 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հանրային ծառայությունները կարգավորող հանձնաժողով</w:t>
      </w:r>
      <w:r>
        <w:rPr>
          <w:rFonts w:ascii="Sylfaen" w:eastAsia="Times New Roman" w:hAnsi="Sylfaen" w:cs="Times New Roman"/>
          <w:sz w:val="24"/>
          <w:szCs w:val="24"/>
          <w:lang w:eastAsia="ru-RU"/>
        </w:rPr>
        <w:t xml:space="preserve">ի </w:t>
      </w:r>
      <w:r w:rsidR="00FC6B86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կողմից</w:t>
      </w:r>
      <w:r w:rsidR="006358E8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և քննարկվել է </w:t>
      </w:r>
      <w:r w:rsidR="006358E8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«</w:t>
      </w:r>
      <w:r w:rsidR="006358E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Հայաստանի էլեկտրական ցանցեր</w:t>
      </w:r>
      <w:r w:rsidR="006358E8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»</w:t>
      </w:r>
      <w:r w:rsidR="006358E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ՓԲԸ-ի</w:t>
      </w:r>
      <w:r w:rsidR="004B1F8E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6358E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հետ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:</w:t>
      </w:r>
    </w:p>
    <w:p w:rsidR="0059001C" w:rsidRPr="001A148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Ակնկալվող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արդյունքը</w:t>
      </w:r>
    </w:p>
    <w:p w:rsidR="005609D8" w:rsidRDefault="005609D8" w:rsidP="005609D8">
      <w:pPr>
        <w:tabs>
          <w:tab w:val="left" w:pos="426"/>
        </w:tabs>
        <w:spacing w:after="0"/>
        <w:jc w:val="both"/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</w:pP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ab/>
      </w:r>
      <w:r w:rsidR="0059001C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Նախագծի ընդունման ար</w:t>
      </w:r>
      <w:r w:rsidR="009B15EC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դյունքը</w:t>
      </w:r>
      <w:r w:rsidR="00D673C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էլեկտրամատակարարմամբ ապահովելու </w:t>
      </w:r>
      <w:r>
        <w:rPr>
          <w:rFonts w:ascii="Sylfaen" w:hAnsi="Sylfaen"/>
          <w:color w:val="000000"/>
          <w:sz w:val="24"/>
          <w:szCs w:val="24"/>
        </w:rPr>
        <w:t>սահմանված ժամկետների կրճատումն է</w:t>
      </w: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։</w:t>
      </w:r>
    </w:p>
    <w:p w:rsidR="0059001C" w:rsidRPr="001A1483" w:rsidRDefault="005609D8" w:rsidP="005609D8">
      <w:pPr>
        <w:tabs>
          <w:tab w:val="left" w:pos="426"/>
        </w:tabs>
        <w:spacing w:after="0"/>
        <w:jc w:val="both"/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</w:pP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ab/>
      </w:r>
      <w:r w:rsidR="004B1F8E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Հ</w:t>
      </w:r>
      <w:r w:rsidR="0059001C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անձնաժողովի</w:t>
      </w: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59001C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գնահատմամբ</w:t>
      </w:r>
      <w:r w:rsidR="008A2FD7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,</w:t>
      </w:r>
      <w:r w:rsidR="00326D62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8A2FD7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նախագծի ընդունման արդյունքում</w:t>
      </w:r>
      <w:r w:rsidR="004B1F8E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հնարավոր կլինի բարելավել Հայաստանի Հանրապետության դիրքը</w:t>
      </w: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Համաշխարհային բ</w:t>
      </w:r>
      <w:bookmarkStart w:id="0" w:name="_GoBack"/>
      <w:bookmarkEnd w:id="0"/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անկի </w:t>
      </w:r>
      <w:r w:rsidR="004B1F8E" w:rsidRPr="001A1483">
        <w:rPr>
          <w:rFonts w:ascii="Sylfaen" w:hAnsi="Sylfaen" w:cs="Helvetica"/>
          <w:color w:val="131313"/>
          <w:sz w:val="24"/>
          <w:szCs w:val="24"/>
        </w:rPr>
        <w:t>«</w:t>
      </w:r>
      <w:r w:rsidR="004B1F8E" w:rsidRPr="001A1483">
        <w:rPr>
          <w:rFonts w:ascii="Sylfaen" w:hAnsi="Sylfaen" w:cs="Sylfaen"/>
          <w:color w:val="131313"/>
          <w:sz w:val="24"/>
          <w:szCs w:val="24"/>
        </w:rPr>
        <w:t>Գործարարությամբ</w:t>
      </w:r>
      <w:r w:rsidR="004B1F8E" w:rsidRPr="001A1483">
        <w:rPr>
          <w:rFonts w:ascii="Sylfaen" w:hAnsi="Sylfaen" w:cs="Helvetica"/>
          <w:color w:val="131313"/>
          <w:sz w:val="24"/>
          <w:szCs w:val="24"/>
        </w:rPr>
        <w:t xml:space="preserve"> </w:t>
      </w:r>
      <w:r w:rsidR="004B1F8E" w:rsidRPr="001A1483">
        <w:rPr>
          <w:rFonts w:ascii="Sylfaen" w:hAnsi="Sylfaen" w:cs="Sylfaen"/>
          <w:color w:val="131313"/>
          <w:sz w:val="24"/>
          <w:szCs w:val="24"/>
        </w:rPr>
        <w:t>զբաղվելը</w:t>
      </w:r>
      <w:r w:rsidR="004B1F8E" w:rsidRPr="001A1483">
        <w:rPr>
          <w:rFonts w:ascii="Sylfaen" w:hAnsi="Sylfaen" w:cs="Helvetica"/>
          <w:color w:val="131313"/>
          <w:sz w:val="24"/>
          <w:szCs w:val="24"/>
        </w:rPr>
        <w:t xml:space="preserve">» </w:t>
      </w:r>
      <w:r w:rsidR="004B1F8E" w:rsidRPr="001A1483">
        <w:rPr>
          <w:rFonts w:ascii="Sylfaen" w:hAnsi="Sylfaen" w:cs="Sylfaen"/>
          <w:color w:val="131313"/>
          <w:sz w:val="24"/>
          <w:szCs w:val="24"/>
        </w:rPr>
        <w:t>զեկույց</w:t>
      </w:r>
      <w:r w:rsidR="004B1F8E">
        <w:rPr>
          <w:rFonts w:ascii="Sylfaen" w:hAnsi="Sylfaen" w:cs="Sylfaen"/>
          <w:color w:val="131313"/>
          <w:sz w:val="24"/>
          <w:szCs w:val="24"/>
        </w:rPr>
        <w:t xml:space="preserve">ի </w:t>
      </w:r>
      <w:r w:rsidR="004B1F8E" w:rsidRPr="001A1483">
        <w:rPr>
          <w:rFonts w:ascii="Sylfaen" w:hAnsi="Sylfaen" w:cs="Sylfaen"/>
          <w:color w:val="000000"/>
          <w:sz w:val="24"/>
          <w:szCs w:val="24"/>
        </w:rPr>
        <w:t>«էլեկտրականության միացում» ցուցիչ</w:t>
      </w:r>
      <w:r w:rsidR="004B1F8E">
        <w:rPr>
          <w:rFonts w:ascii="Sylfaen" w:hAnsi="Sylfaen" w:cs="Sylfaen"/>
          <w:color w:val="000000"/>
          <w:sz w:val="24"/>
          <w:szCs w:val="24"/>
        </w:rPr>
        <w:t>ի մասով</w:t>
      </w:r>
      <w:r w:rsidR="0059001C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։</w:t>
      </w:r>
    </w:p>
    <w:p w:rsidR="002123B6" w:rsidRPr="001A1483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</w:pPr>
      <w:r w:rsidRPr="001A1483">
        <w:rPr>
          <w:rFonts w:ascii="Sylfaen" w:eastAsia="Times New Roman" w:hAnsi="Sylfaen" w:cs="Times New Roman"/>
          <w:b/>
          <w:bCs/>
          <w:color w:val="4B5C6A"/>
          <w:sz w:val="24"/>
          <w:szCs w:val="24"/>
          <w:lang w:eastAsia="ru-RU"/>
        </w:rPr>
        <w:t> </w:t>
      </w:r>
    </w:p>
    <w:sectPr w:rsidR="002123B6" w:rsidRPr="001A1483" w:rsidSect="005900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B6"/>
    <w:rsid w:val="00074219"/>
    <w:rsid w:val="000B7CD8"/>
    <w:rsid w:val="001A0D4D"/>
    <w:rsid w:val="001A1483"/>
    <w:rsid w:val="002123B6"/>
    <w:rsid w:val="002139B3"/>
    <w:rsid w:val="00263E87"/>
    <w:rsid w:val="00326D62"/>
    <w:rsid w:val="003378FE"/>
    <w:rsid w:val="00356898"/>
    <w:rsid w:val="003C1D74"/>
    <w:rsid w:val="00407AF1"/>
    <w:rsid w:val="004237C8"/>
    <w:rsid w:val="0049562E"/>
    <w:rsid w:val="004B1F8E"/>
    <w:rsid w:val="004C32B2"/>
    <w:rsid w:val="005609D8"/>
    <w:rsid w:val="0059001C"/>
    <w:rsid w:val="00625EB6"/>
    <w:rsid w:val="00631A64"/>
    <w:rsid w:val="006358E8"/>
    <w:rsid w:val="00731F3C"/>
    <w:rsid w:val="00762F1F"/>
    <w:rsid w:val="008A2FD7"/>
    <w:rsid w:val="008C220E"/>
    <w:rsid w:val="008D1861"/>
    <w:rsid w:val="008F01C7"/>
    <w:rsid w:val="008F4CAF"/>
    <w:rsid w:val="009879D7"/>
    <w:rsid w:val="009B15EC"/>
    <w:rsid w:val="00B34C5C"/>
    <w:rsid w:val="00B472FD"/>
    <w:rsid w:val="00B74293"/>
    <w:rsid w:val="00BB2168"/>
    <w:rsid w:val="00BE094B"/>
    <w:rsid w:val="00C63DA3"/>
    <w:rsid w:val="00C9362A"/>
    <w:rsid w:val="00D41474"/>
    <w:rsid w:val="00D673C8"/>
    <w:rsid w:val="00DD667A"/>
    <w:rsid w:val="00DE05EE"/>
    <w:rsid w:val="00EE50C1"/>
    <w:rsid w:val="00F44E5D"/>
    <w:rsid w:val="00FB5C8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EACBC"/>
  <w15:docId w15:val="{D90F61B8-6E75-4EA4-8A61-9E45A82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C8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Elena Baboyan</cp:lastModifiedBy>
  <cp:revision>7</cp:revision>
  <cp:lastPrinted>2019-04-15T06:17:00Z</cp:lastPrinted>
  <dcterms:created xsi:type="dcterms:W3CDTF">2019-04-15T06:11:00Z</dcterms:created>
  <dcterms:modified xsi:type="dcterms:W3CDTF">2019-04-15T07:03:00Z</dcterms:modified>
</cp:coreProperties>
</file>