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3" w:rsidRDefault="00C53A03" w:rsidP="00C53A03">
      <w:pPr>
        <w:rPr>
          <w:rFonts w:ascii="GHEA Grapalat" w:hAnsi="GHEA Grapalat"/>
          <w:sz w:val="24"/>
          <w:szCs w:val="24"/>
        </w:rPr>
      </w:pPr>
    </w:p>
    <w:tbl>
      <w:tblPr>
        <w:tblW w:w="11250" w:type="dxa"/>
        <w:tblInd w:w="-882" w:type="dxa"/>
        <w:tblLayout w:type="fixed"/>
        <w:tblLook w:val="04A0"/>
      </w:tblPr>
      <w:tblGrid>
        <w:gridCol w:w="41"/>
        <w:gridCol w:w="236"/>
        <w:gridCol w:w="10973"/>
      </w:tblGrid>
      <w:tr w:rsidR="00C53A03" w:rsidRPr="0055599E" w:rsidTr="002C64E1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26015F" w:rsidRDefault="0026015F" w:rsidP="0026015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C53A03" w:rsidRPr="0055599E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6015F" w:rsidRDefault="0026015F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53A03" w:rsidRDefault="00C33B79" w:rsidP="00C33B79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en-US"/>
              </w:rPr>
              <w:t xml:space="preserve">        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ՀՀ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կառավարության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201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8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թվականի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օգոստոսի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2-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ի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N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859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-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որոշման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մեջ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փոփոխությունը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պայամանվորված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է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շահագրգիռ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4A0298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կողմ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ի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ներկայացվող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պահանջներից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: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Առաջարկվող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փոփոխության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միջոցով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նախատեսվում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է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կարգավորել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ինտերնատուրայի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կադրերի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</w:rPr>
              <w:t>պատրաստման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</w:rPr>
              <w:t>և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բժիշկ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սպաների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պահանջարկի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ապահովումը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435FA0" w:rsidRDefault="00C53A03" w:rsidP="00435FA0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2017/2018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ուսումնական տարում </w:t>
            </w:r>
            <w:r w:rsidR="002C6C3B">
              <w:rPr>
                <w:rFonts w:ascii="GHEA Grapalat" w:hAnsi="GHEA Grapalat"/>
                <w:sz w:val="24"/>
                <w:szCs w:val="24"/>
              </w:rPr>
              <w:t>Երևանի Մ. Հերացու անվան պետական բժշկական համալսարանի</w:t>
            </w:r>
            <w:r w:rsidR="002C6C3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տարբեր ֆակուլտետներ 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ավարտ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ած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35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ուսանող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ներ, որոնք ենթակա են շարքային կազմի պարտադիր զինվորական ծառայության զորակոչի</w:t>
            </w:r>
            <w:r w:rsidR="000E139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  </w:t>
            </w:r>
            <w:r w:rsidR="000E139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րպես շարքային կազմ զորակոչվելը շրջանավարտների մոտ առաջ էր բերել դժգոհություն, ինչի առնչությամբ նրանք դիմել են ՀՀ վարչապետին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2C6C3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Պ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աշտպանության նախարարություն, ինչպես նաև </w:t>
            </w:r>
            <w:r w:rsidR="002C6C3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Կ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րթության և գիտության նախարարություն:</w:t>
            </w:r>
          </w:p>
          <w:p w:rsidR="00C53A03" w:rsidRPr="00136AA4" w:rsidRDefault="00435FA0" w:rsidP="002C6C3B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Խնդրի առնչությամբ կատարված քննարկումների արդյունքում՝ հ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աշվի առնելով uտացած մաuնագիտությունը</w:t>
            </w:r>
            <w:r w:rsidR="00162C2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122E0D">
              <w:rPr>
                <w:rFonts w:ascii="GHEA Grapalat" w:hAnsi="GHEA Grapalat"/>
                <w:sz w:val="24"/>
                <w:szCs w:val="24"/>
              </w:rPr>
              <w:t>առողջապահական համակարգի</w:t>
            </w:r>
            <w:r w:rsidR="009D7649">
              <w:rPr>
                <w:rFonts w:ascii="GHEA Grapalat" w:hAnsi="GHEA Grapalat"/>
                <w:sz w:val="24"/>
                <w:szCs w:val="24"/>
              </w:rPr>
              <w:t xml:space="preserve"> և ՀՀ զինված ուժերում</w:t>
            </w:r>
            <w:r w:rsidR="00122E0D">
              <w:rPr>
                <w:rFonts w:ascii="GHEA Grapalat" w:hAnsi="GHEA Grapalat"/>
                <w:sz w:val="24"/>
                <w:szCs w:val="24"/>
              </w:rPr>
              <w:t xml:space="preserve"> ներկայիս և ակնկալվող կադրային պահանջարկը</w:t>
            </w:r>
            <w:r w:rsidR="00136AA4">
              <w:rPr>
                <w:rFonts w:ascii="GHEA Grapalat" w:hAnsi="GHEA Grapalat"/>
                <w:sz w:val="24"/>
                <w:szCs w:val="24"/>
              </w:rPr>
              <w:t>,</w:t>
            </w:r>
            <w:r w:rsidR="0075578C">
              <w:rPr>
                <w:rFonts w:ascii="GHEA Grapalat" w:hAnsi="GHEA Grapalat"/>
                <w:sz w:val="24"/>
                <w:szCs w:val="24"/>
              </w:rPr>
              <w:t xml:space="preserve"> շրջանավարտներին առաջարկվել է 2019 թվականի ձմեռային զորակոչի շրջանակներում (հունվարին) շարքային կազմի պարտադիր զինվորական ծառայության զորակոչվելուց անմիջապես հետո </w:t>
            </w:r>
            <w:r w:rsidR="002C6C3B">
              <w:rPr>
                <w:rFonts w:ascii="GHEA Grapalat" w:hAnsi="GHEA Grapalat"/>
                <w:sz w:val="24"/>
                <w:szCs w:val="24"/>
              </w:rPr>
              <w:t>Պ</w:t>
            </w:r>
            <w:r w:rsidR="0075578C">
              <w:rPr>
                <w:rFonts w:ascii="GHEA Grapalat" w:hAnsi="GHEA Grapalat"/>
                <w:sz w:val="24"/>
                <w:szCs w:val="24"/>
              </w:rPr>
              <w:t xml:space="preserve">աշտպանության  նախարարության հետ կնքել Երևանի Մ. Հերացու անվան պետական բժշկական համալսարանի իտերնատուրայում մեկ տարի ժամկետով ուսումնառության վերաբերյալ քաղաքացիաիրավական պայմանագիր և ուսումն ավարտելուց հետո ծառայության անցնել որպես բժիշկ-սպաներ: 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Pr="00435FA0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3D0A69" w:rsidP="002C6C3B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>ՀՀ պաշտպանության նախարարությունից</w:t>
            </w:r>
            <w:r w:rsidR="00FA4FF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>ստացված հայտ</w:t>
            </w:r>
            <w:r w:rsidR="00AF4183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հիման վրա </w:t>
            </w:r>
            <w:r w:rsidR="002C6C3B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>րթության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           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և գիտության նախարարո</w:t>
            </w:r>
            <w:r w:rsidR="00CF7F2B">
              <w:rPr>
                <w:rFonts w:ascii="GHEA Grapalat" w:hAnsi="GHEA Grapalat" w:cs="Sylfaen"/>
                <w:sz w:val="24"/>
                <w:szCs w:val="24"/>
              </w:rPr>
              <w:t>ւթյուն</w:t>
            </w:r>
            <w:r w:rsidR="00CF7F2B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122E0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հաստատմանն է ներկայացնում պետության կողմից </w:t>
            </w:r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 w:rsidR="00136AA4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լրացուցիչ 35 </w:t>
            </w:r>
            <w:r w:rsidR="00E108FA" w:rsidRPr="00E108FA">
              <w:rPr>
                <w:rFonts w:ascii="GHEA Grapalat" w:hAnsi="GHEA Grapalat"/>
                <w:sz w:val="24"/>
                <w:szCs w:val="24"/>
                <w:lang w:val="af-ZA"/>
              </w:rPr>
              <w:t>ինտերնատուրայի ընդունելության</w:t>
            </w:r>
            <w:r w:rsidR="00E108F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26015F" w:rsidRDefault="0026015F" w:rsidP="002C6C3B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26015F" w:rsidRPr="0026015F" w:rsidRDefault="0026015F" w:rsidP="002C6C3B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136AA4" w:rsidRPr="00136AA4" w:rsidRDefault="00CF7F2B" w:rsidP="00136AA4">
            <w:pPr>
              <w:pStyle w:val="mechtex"/>
              <w:spacing w:line="360" w:lineRule="auto"/>
              <w:jc w:val="both"/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6B642C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EB69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փոփոխության</w:t>
            </w:r>
            <w:r w:rsidRPr="00EB69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0A6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նպատակն է</w:t>
            </w:r>
            <w:r w:rsidRPr="00EB6932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136AA4">
              <w:rPr>
                <w:rFonts w:ascii="GHEA Grapalat" w:hAnsi="GHEA Grapalat"/>
                <w:sz w:val="24"/>
                <w:szCs w:val="24"/>
              </w:rPr>
              <w:t>Երևանի Մ. Հերացու անվան պետական բժշկական համալսարանի ի</w:t>
            </w:r>
            <w:r w:rsidR="000E139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136AA4">
              <w:rPr>
                <w:rFonts w:ascii="GHEA Grapalat" w:hAnsi="GHEA Grapalat"/>
                <w:sz w:val="24"/>
                <w:szCs w:val="24"/>
              </w:rPr>
              <w:t>տերնատուրայում</w:t>
            </w:r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հատկացնել ուսումնառության 35 տեղ՝ </w:t>
            </w:r>
            <w:r w:rsidR="000E1399">
              <w:rPr>
                <w:rFonts w:ascii="GHEA Grapalat" w:hAnsi="GHEA Grapalat"/>
                <w:sz w:val="24"/>
                <w:szCs w:val="24"/>
                <w:lang w:val="en-US"/>
              </w:rPr>
              <w:t xml:space="preserve">ԵՊԲՀ-ի </w:t>
            </w:r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շրջանավարտների մեկամյա հետբուհական կրթությունն ապահովելու համար:</w:t>
            </w:r>
          </w:p>
          <w:p w:rsidR="00CF7F2B" w:rsidRPr="003D0A69" w:rsidRDefault="00136AA4" w:rsidP="00136AA4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Նման մոտեցումը</w:t>
            </w:r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հնարավորություն է ընձեռում աահովել շարունակական կրթությունը</w:t>
            </w:r>
            <w:r w:rsidR="004A029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և համալրել</w:t>
            </w:r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ՀՀ զինված ուժերում առկա բժիշկ-սպաների </w:t>
            </w:r>
            <w:r w:rsidR="004A029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կադրային պահանջարկը:</w:t>
            </w:r>
            <w:r w:rsidR="003D0A6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2C6C3B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2C6C3B">
              <w:rPr>
                <w:rFonts w:ascii="GHEA Grapalat" w:hAnsi="GHEA Grapalat"/>
                <w:sz w:val="24"/>
                <w:szCs w:val="24"/>
              </w:rPr>
              <w:t>Պ</w:t>
            </w:r>
            <w:r w:rsidR="00136AA4">
              <w:rPr>
                <w:rFonts w:ascii="GHEA Grapalat" w:hAnsi="GHEA Grapalat" w:cs="Sylfaen"/>
                <w:sz w:val="24"/>
                <w:szCs w:val="24"/>
                <w:lang w:val="en-US"/>
              </w:rPr>
              <w:t>աշտպանության նախարարություն</w:t>
            </w:r>
            <w:r w:rsidR="00136AA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="002C6C3B">
              <w:rPr>
                <w:rFonts w:ascii="GHEA Grapalat" w:hAnsi="GHEA Grapalat"/>
                <w:sz w:val="24"/>
                <w:szCs w:val="24"/>
              </w:rPr>
              <w:t>Կ</w:t>
            </w:r>
            <w:r w:rsidR="009E2BED">
              <w:rPr>
                <w:rFonts w:ascii="GHEA Grapalat" w:hAnsi="GHEA Grapalat"/>
                <w:sz w:val="24"/>
                <w:szCs w:val="24"/>
              </w:rPr>
              <w:t>րթության և գիտության նախարարություն</w:t>
            </w:r>
            <w:r w:rsidR="00CF7F2B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F6EF3" w:rsidRPr="0055599E" w:rsidTr="002C64E1">
        <w:trPr>
          <w:gridBefore w:val="1"/>
          <w:wBefore w:w="41" w:type="dxa"/>
          <w:trHeight w:val="424"/>
        </w:trPr>
        <w:tc>
          <w:tcPr>
            <w:tcW w:w="236" w:type="dxa"/>
          </w:tcPr>
          <w:p w:rsidR="000F6EF3" w:rsidRDefault="000F6EF3" w:rsidP="00124E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0F6EF3" w:rsidRPr="009E2BED" w:rsidRDefault="00136AA4" w:rsidP="004A0298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</w:t>
            </w:r>
            <w:r w:rsidR="003D0A6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/>
                <w:sz w:val="24"/>
                <w:szCs w:val="24"/>
                <w:lang w:val="af-ZA"/>
              </w:rPr>
              <w:t>նախատեսում է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</w:rPr>
              <w:t>կարգավորել</w:t>
            </w:r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զինված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ուժերում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առկա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A0298">
              <w:rPr>
                <w:rFonts w:ascii="GHEA Grapalat" w:hAnsi="GHEA Grapalat" w:cs="Sylfaen"/>
                <w:sz w:val="24"/>
                <w:szCs w:val="24"/>
                <w:lang w:val="en-US"/>
              </w:rPr>
              <w:t>բժշկական կազմի թերհամալրվածության խնդիրը</w:t>
            </w:r>
            <w:r w:rsidR="003D0A69" w:rsidRPr="00B768AA">
              <w:rPr>
                <w:rFonts w:ascii="GHEA Grapalat" w:hAnsi="GHEA Grapalat"/>
                <w:color w:val="000000"/>
                <w:sz w:val="26"/>
                <w:szCs w:val="26"/>
                <w:lang w:val="af-ZA"/>
              </w:rPr>
              <w:t xml:space="preserve"> և </w:t>
            </w:r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ապահովել ինտերնատուրայում նրանց ուսուցումը շարունակելու հնարավորությունը:</w:t>
            </w:r>
          </w:p>
        </w:tc>
      </w:tr>
      <w:tr w:rsidR="00C53A03" w:rsidRPr="00D561E7" w:rsidTr="002C64E1">
        <w:tc>
          <w:tcPr>
            <w:tcW w:w="11250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AF418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62C21" w:rsidRDefault="00AF4183" w:rsidP="0026015F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4E29A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  <w:p w:rsidR="00162C21" w:rsidRDefault="00162C21" w:rsidP="007303E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26015F" w:rsidRDefault="0026015F" w:rsidP="007303E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26015F" w:rsidRDefault="0026015F" w:rsidP="007303E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C53A03" w:rsidRDefault="00C53A03" w:rsidP="007303E2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C53A03" w:rsidRDefault="00C53A03" w:rsidP="00136AA4">
            <w:pPr>
              <w:tabs>
                <w:tab w:val="left" w:pos="6810"/>
              </w:tabs>
              <w:spacing w:before="120" w:after="120"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29AD"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="00136AA4">
              <w:rPr>
                <w:rFonts w:ascii="GHEA Grapalat" w:hAnsi="GHEA Grapalat"/>
                <w:sz w:val="24"/>
                <w:szCs w:val="24"/>
                <w:lang w:val="pt-BR"/>
              </w:rPr>
              <w:t>Հ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այաստանի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անրապետության կառավարության 201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թվականի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օգոստոսի 2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-ի 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N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859–Ն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որոշ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ման մեջ փոփոխություն կատարելու մասին</w:t>
            </w:r>
            <w:r w:rsidRPr="004E29A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>&gt;&gt;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2C64E1">
        <w:tc>
          <w:tcPr>
            <w:tcW w:w="11250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4"/>
        <w:gridCol w:w="9696"/>
      </w:tblGrid>
      <w:tr w:rsidR="001910B5" w:rsidRPr="0055599E" w:rsidTr="003924E5">
        <w:trPr>
          <w:trHeight w:val="3042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910B5" w:rsidRPr="003924E5" w:rsidRDefault="001910B5" w:rsidP="003924E5">
            <w:pPr>
              <w:tabs>
                <w:tab w:val="left" w:pos="6810"/>
              </w:tabs>
              <w:spacing w:before="120" w:after="120" w:line="360" w:lineRule="auto"/>
              <w:ind w:left="-180" w:hanging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</w:t>
            </w:r>
            <w:r w:rsidRPr="003924E5">
              <w:rPr>
                <w:rFonts w:ascii="GHEA Grapalat" w:hAnsi="GHEA Grapalat"/>
                <w:sz w:val="24"/>
                <w:szCs w:val="24"/>
                <w:lang w:val="pt-BR"/>
              </w:rPr>
              <w:t>&lt;</w:t>
            </w:r>
            <w:r w:rsidR="003924E5" w:rsidRPr="003924E5">
              <w:rPr>
                <w:rFonts w:ascii="GHEA Grapalat" w:hAnsi="GHEA Grapalat"/>
                <w:b/>
                <w:sz w:val="24"/>
                <w:szCs w:val="24"/>
                <w:lang w:val="pt-BR"/>
              </w:rPr>
              <w:t>Հ</w:t>
            </w:r>
            <w:r w:rsidR="003924E5" w:rsidRP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այաստանի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հանրապետության կառավարության 201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թվականի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օգոստոսի 2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-ի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N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859–Ն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որոշ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ման մեջ փոփոխություն կատարելու 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910B5" w:rsidRPr="0055599E" w:rsidTr="003924E5">
        <w:trPr>
          <w:trHeight w:val="1014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910B5" w:rsidRPr="0055599E" w:rsidTr="003924E5">
        <w:trPr>
          <w:trHeight w:val="1014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803C9E" w:rsidRDefault="00803C9E" w:rsidP="004E29AD">
      <w:pPr>
        <w:rPr>
          <w:rFonts w:ascii="GHEA Grapalat" w:hAnsi="GHEA Grapalat"/>
          <w:sz w:val="24"/>
          <w:szCs w:val="24"/>
        </w:rPr>
      </w:pPr>
    </w:p>
    <w:p w:rsidR="00136AA4" w:rsidRDefault="00136AA4" w:rsidP="004E29AD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EF1D84" w:rsidRPr="00136AA4" w:rsidRDefault="00EF1D84" w:rsidP="00136AA4">
      <w:pPr>
        <w:tabs>
          <w:tab w:val="left" w:pos="6135"/>
        </w:tabs>
        <w:rPr>
          <w:rFonts w:ascii="GHEA Grapalat" w:hAnsi="GHEA Grapalat"/>
          <w:sz w:val="24"/>
          <w:szCs w:val="24"/>
        </w:rPr>
      </w:pPr>
    </w:p>
    <w:sectPr w:rsidR="00EF1D84" w:rsidRPr="00136AA4" w:rsidSect="0026015F">
      <w:headerReference w:type="even" r:id="rId8"/>
      <w:footerReference w:type="default" r:id="rId9"/>
      <w:pgSz w:w="11909" w:h="16834" w:code="9"/>
      <w:pgMar w:top="63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F1F" w:rsidRDefault="00E55F1F">
      <w:r>
        <w:separator/>
      </w:r>
    </w:p>
  </w:endnote>
  <w:endnote w:type="continuationSeparator" w:id="1">
    <w:p w:rsidR="00E55F1F" w:rsidRDefault="00E5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F1F" w:rsidRDefault="00E55F1F">
      <w:r>
        <w:separator/>
      </w:r>
    </w:p>
  </w:footnote>
  <w:footnote w:type="continuationSeparator" w:id="1">
    <w:p w:rsidR="00E55F1F" w:rsidRDefault="00E5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E7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FBB35DA"/>
    <w:multiLevelType w:val="hybridMultilevel"/>
    <w:tmpl w:val="7B42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5890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33D7"/>
    <w:rsid w:val="00021F68"/>
    <w:rsid w:val="0004054D"/>
    <w:rsid w:val="00042D90"/>
    <w:rsid w:val="000466D0"/>
    <w:rsid w:val="000526D5"/>
    <w:rsid w:val="000537F9"/>
    <w:rsid w:val="00062054"/>
    <w:rsid w:val="00065F5A"/>
    <w:rsid w:val="00072676"/>
    <w:rsid w:val="000A4583"/>
    <w:rsid w:val="000A4F33"/>
    <w:rsid w:val="000C25FA"/>
    <w:rsid w:val="000D1693"/>
    <w:rsid w:val="000D6B29"/>
    <w:rsid w:val="000E06E7"/>
    <w:rsid w:val="000E1399"/>
    <w:rsid w:val="000E2393"/>
    <w:rsid w:val="000E56A3"/>
    <w:rsid w:val="000E6358"/>
    <w:rsid w:val="000F144B"/>
    <w:rsid w:val="000F1BF3"/>
    <w:rsid w:val="000F6EF3"/>
    <w:rsid w:val="001009F6"/>
    <w:rsid w:val="00110E34"/>
    <w:rsid w:val="001154EC"/>
    <w:rsid w:val="00116B16"/>
    <w:rsid w:val="00122E0D"/>
    <w:rsid w:val="001252E7"/>
    <w:rsid w:val="00127E0D"/>
    <w:rsid w:val="001364DE"/>
    <w:rsid w:val="00136AA4"/>
    <w:rsid w:val="001402A4"/>
    <w:rsid w:val="00142CA7"/>
    <w:rsid w:val="00143514"/>
    <w:rsid w:val="00150401"/>
    <w:rsid w:val="001526EC"/>
    <w:rsid w:val="001601EB"/>
    <w:rsid w:val="00162C21"/>
    <w:rsid w:val="001657A8"/>
    <w:rsid w:val="00165ABB"/>
    <w:rsid w:val="00176C18"/>
    <w:rsid w:val="001809DE"/>
    <w:rsid w:val="0018249F"/>
    <w:rsid w:val="001910B5"/>
    <w:rsid w:val="0019148C"/>
    <w:rsid w:val="00191E78"/>
    <w:rsid w:val="001A02C6"/>
    <w:rsid w:val="001A30F8"/>
    <w:rsid w:val="001A7186"/>
    <w:rsid w:val="001B41EC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0461"/>
    <w:rsid w:val="00244D87"/>
    <w:rsid w:val="00254ACB"/>
    <w:rsid w:val="00256719"/>
    <w:rsid w:val="00257486"/>
    <w:rsid w:val="0026015F"/>
    <w:rsid w:val="00260E0C"/>
    <w:rsid w:val="00283EC6"/>
    <w:rsid w:val="00293480"/>
    <w:rsid w:val="002A0287"/>
    <w:rsid w:val="002A1A2F"/>
    <w:rsid w:val="002A2DF8"/>
    <w:rsid w:val="002B1B6D"/>
    <w:rsid w:val="002C03A4"/>
    <w:rsid w:val="002C0567"/>
    <w:rsid w:val="002C2DDB"/>
    <w:rsid w:val="002C64E1"/>
    <w:rsid w:val="002C6C3B"/>
    <w:rsid w:val="002C7774"/>
    <w:rsid w:val="002D1406"/>
    <w:rsid w:val="002D5ED6"/>
    <w:rsid w:val="002D66E3"/>
    <w:rsid w:val="002D6894"/>
    <w:rsid w:val="002E306D"/>
    <w:rsid w:val="002E36FD"/>
    <w:rsid w:val="002F1E22"/>
    <w:rsid w:val="002F4EA2"/>
    <w:rsid w:val="00305259"/>
    <w:rsid w:val="00316ECA"/>
    <w:rsid w:val="003218A5"/>
    <w:rsid w:val="00341D36"/>
    <w:rsid w:val="00345E26"/>
    <w:rsid w:val="0034674C"/>
    <w:rsid w:val="00351E33"/>
    <w:rsid w:val="00360F5E"/>
    <w:rsid w:val="003610C4"/>
    <w:rsid w:val="00367960"/>
    <w:rsid w:val="00385701"/>
    <w:rsid w:val="003924E5"/>
    <w:rsid w:val="003B6624"/>
    <w:rsid w:val="003C5D1B"/>
    <w:rsid w:val="003D0A69"/>
    <w:rsid w:val="003D3187"/>
    <w:rsid w:val="003F5A26"/>
    <w:rsid w:val="0040050A"/>
    <w:rsid w:val="00435722"/>
    <w:rsid w:val="00435FA0"/>
    <w:rsid w:val="004379B8"/>
    <w:rsid w:val="00441BC3"/>
    <w:rsid w:val="004477B6"/>
    <w:rsid w:val="0045714F"/>
    <w:rsid w:val="00457C27"/>
    <w:rsid w:val="0046382D"/>
    <w:rsid w:val="00464ABA"/>
    <w:rsid w:val="00470FBA"/>
    <w:rsid w:val="00471D5B"/>
    <w:rsid w:val="004725FA"/>
    <w:rsid w:val="00480386"/>
    <w:rsid w:val="00492388"/>
    <w:rsid w:val="00495C6A"/>
    <w:rsid w:val="004966B2"/>
    <w:rsid w:val="004974B7"/>
    <w:rsid w:val="004975CD"/>
    <w:rsid w:val="004A0298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18BD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10A2"/>
    <w:rsid w:val="0057202E"/>
    <w:rsid w:val="00574644"/>
    <w:rsid w:val="005A329B"/>
    <w:rsid w:val="005A637B"/>
    <w:rsid w:val="005A7ADF"/>
    <w:rsid w:val="005B1881"/>
    <w:rsid w:val="005B51E8"/>
    <w:rsid w:val="005C08FA"/>
    <w:rsid w:val="005C48C6"/>
    <w:rsid w:val="005D069C"/>
    <w:rsid w:val="005D08C3"/>
    <w:rsid w:val="005D5D6D"/>
    <w:rsid w:val="005E419C"/>
    <w:rsid w:val="005E70A9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345"/>
    <w:rsid w:val="00684A95"/>
    <w:rsid w:val="00685AD7"/>
    <w:rsid w:val="006B4917"/>
    <w:rsid w:val="006B6AAE"/>
    <w:rsid w:val="006D5425"/>
    <w:rsid w:val="006D6D36"/>
    <w:rsid w:val="006E2221"/>
    <w:rsid w:val="006F1E29"/>
    <w:rsid w:val="007045C5"/>
    <w:rsid w:val="00715567"/>
    <w:rsid w:val="007165A7"/>
    <w:rsid w:val="00722764"/>
    <w:rsid w:val="007247A1"/>
    <w:rsid w:val="007272F1"/>
    <w:rsid w:val="007303E2"/>
    <w:rsid w:val="007310DC"/>
    <w:rsid w:val="00735B33"/>
    <w:rsid w:val="007361DC"/>
    <w:rsid w:val="00747676"/>
    <w:rsid w:val="0075578C"/>
    <w:rsid w:val="007703EA"/>
    <w:rsid w:val="00777A1E"/>
    <w:rsid w:val="00782773"/>
    <w:rsid w:val="00785B06"/>
    <w:rsid w:val="00786D28"/>
    <w:rsid w:val="007928BD"/>
    <w:rsid w:val="00795383"/>
    <w:rsid w:val="00797D8C"/>
    <w:rsid w:val="007A491A"/>
    <w:rsid w:val="007B16BE"/>
    <w:rsid w:val="007C4A19"/>
    <w:rsid w:val="007D0648"/>
    <w:rsid w:val="007D1ECD"/>
    <w:rsid w:val="007E2B21"/>
    <w:rsid w:val="007E3D92"/>
    <w:rsid w:val="007E6760"/>
    <w:rsid w:val="00800BD6"/>
    <w:rsid w:val="00803C9E"/>
    <w:rsid w:val="008070D2"/>
    <w:rsid w:val="0081588F"/>
    <w:rsid w:val="008241A9"/>
    <w:rsid w:val="008258F0"/>
    <w:rsid w:val="00826402"/>
    <w:rsid w:val="00833DE2"/>
    <w:rsid w:val="0083641A"/>
    <w:rsid w:val="008752B5"/>
    <w:rsid w:val="00875FE2"/>
    <w:rsid w:val="00877A7D"/>
    <w:rsid w:val="0089277D"/>
    <w:rsid w:val="00894F8D"/>
    <w:rsid w:val="00895B19"/>
    <w:rsid w:val="00895B51"/>
    <w:rsid w:val="008960BC"/>
    <w:rsid w:val="008A02C9"/>
    <w:rsid w:val="008A3463"/>
    <w:rsid w:val="008B7D6F"/>
    <w:rsid w:val="008C4D51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61C1A"/>
    <w:rsid w:val="0096392E"/>
    <w:rsid w:val="00964337"/>
    <w:rsid w:val="00971689"/>
    <w:rsid w:val="00971825"/>
    <w:rsid w:val="009774B0"/>
    <w:rsid w:val="00977F12"/>
    <w:rsid w:val="009807D4"/>
    <w:rsid w:val="00981E9A"/>
    <w:rsid w:val="009822ED"/>
    <w:rsid w:val="00983B17"/>
    <w:rsid w:val="00984BA8"/>
    <w:rsid w:val="009853C1"/>
    <w:rsid w:val="00986A0D"/>
    <w:rsid w:val="00987822"/>
    <w:rsid w:val="009915D4"/>
    <w:rsid w:val="00997A0C"/>
    <w:rsid w:val="009A256E"/>
    <w:rsid w:val="009A2C91"/>
    <w:rsid w:val="009A4429"/>
    <w:rsid w:val="009A6751"/>
    <w:rsid w:val="009B5680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2D56"/>
    <w:rsid w:val="00A332E8"/>
    <w:rsid w:val="00A36E64"/>
    <w:rsid w:val="00A40F45"/>
    <w:rsid w:val="00A556A7"/>
    <w:rsid w:val="00A60771"/>
    <w:rsid w:val="00A67779"/>
    <w:rsid w:val="00A744DA"/>
    <w:rsid w:val="00A82B44"/>
    <w:rsid w:val="00A91961"/>
    <w:rsid w:val="00A92044"/>
    <w:rsid w:val="00A9431F"/>
    <w:rsid w:val="00A97A5C"/>
    <w:rsid w:val="00AA39F0"/>
    <w:rsid w:val="00AB2E1D"/>
    <w:rsid w:val="00AC29C5"/>
    <w:rsid w:val="00AC4A95"/>
    <w:rsid w:val="00AC4DB5"/>
    <w:rsid w:val="00AC7CEC"/>
    <w:rsid w:val="00AD4C52"/>
    <w:rsid w:val="00AE0FCD"/>
    <w:rsid w:val="00AE5726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2349"/>
    <w:rsid w:val="00B44EC4"/>
    <w:rsid w:val="00B5252E"/>
    <w:rsid w:val="00B53765"/>
    <w:rsid w:val="00B737C4"/>
    <w:rsid w:val="00B81AA5"/>
    <w:rsid w:val="00BA0750"/>
    <w:rsid w:val="00BB09DB"/>
    <w:rsid w:val="00BB10E5"/>
    <w:rsid w:val="00BB142B"/>
    <w:rsid w:val="00BB14C4"/>
    <w:rsid w:val="00BB2383"/>
    <w:rsid w:val="00BB58B3"/>
    <w:rsid w:val="00BC43CC"/>
    <w:rsid w:val="00BC6026"/>
    <w:rsid w:val="00BD3F05"/>
    <w:rsid w:val="00BD6D0C"/>
    <w:rsid w:val="00BE00B9"/>
    <w:rsid w:val="00BE2273"/>
    <w:rsid w:val="00BE3284"/>
    <w:rsid w:val="00BE4B12"/>
    <w:rsid w:val="00BE7B34"/>
    <w:rsid w:val="00BF0EED"/>
    <w:rsid w:val="00BF7F6E"/>
    <w:rsid w:val="00C022AA"/>
    <w:rsid w:val="00C047C7"/>
    <w:rsid w:val="00C118CA"/>
    <w:rsid w:val="00C21FFA"/>
    <w:rsid w:val="00C230E7"/>
    <w:rsid w:val="00C26516"/>
    <w:rsid w:val="00C27ACC"/>
    <w:rsid w:val="00C33B79"/>
    <w:rsid w:val="00C342F4"/>
    <w:rsid w:val="00C352C6"/>
    <w:rsid w:val="00C378A6"/>
    <w:rsid w:val="00C45BAF"/>
    <w:rsid w:val="00C51317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A7271"/>
    <w:rsid w:val="00CB2595"/>
    <w:rsid w:val="00CD176F"/>
    <w:rsid w:val="00CD4AA6"/>
    <w:rsid w:val="00CF7F2B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37A9D"/>
    <w:rsid w:val="00D4189D"/>
    <w:rsid w:val="00D45E10"/>
    <w:rsid w:val="00D554FA"/>
    <w:rsid w:val="00D56604"/>
    <w:rsid w:val="00D64CA1"/>
    <w:rsid w:val="00D66668"/>
    <w:rsid w:val="00D70CD2"/>
    <w:rsid w:val="00D9038E"/>
    <w:rsid w:val="00D958EC"/>
    <w:rsid w:val="00D96998"/>
    <w:rsid w:val="00DA0A31"/>
    <w:rsid w:val="00DA2603"/>
    <w:rsid w:val="00DB19A2"/>
    <w:rsid w:val="00DB24F4"/>
    <w:rsid w:val="00DB7B68"/>
    <w:rsid w:val="00DB7FBB"/>
    <w:rsid w:val="00DC5CE2"/>
    <w:rsid w:val="00DC6FAF"/>
    <w:rsid w:val="00DC7FF3"/>
    <w:rsid w:val="00DE46C0"/>
    <w:rsid w:val="00DF0540"/>
    <w:rsid w:val="00DF0631"/>
    <w:rsid w:val="00DF1177"/>
    <w:rsid w:val="00DF2E0D"/>
    <w:rsid w:val="00DF496E"/>
    <w:rsid w:val="00DF76BD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37A9"/>
    <w:rsid w:val="00E46D39"/>
    <w:rsid w:val="00E55F1F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297"/>
    <w:rsid w:val="00EA7AF9"/>
    <w:rsid w:val="00EA7BCE"/>
    <w:rsid w:val="00EB2F05"/>
    <w:rsid w:val="00EB63C2"/>
    <w:rsid w:val="00EC0EA6"/>
    <w:rsid w:val="00ED11D6"/>
    <w:rsid w:val="00ED1465"/>
    <w:rsid w:val="00ED3C98"/>
    <w:rsid w:val="00EE7864"/>
    <w:rsid w:val="00EF11D9"/>
    <w:rsid w:val="00EF1BD2"/>
    <w:rsid w:val="00EF1D84"/>
    <w:rsid w:val="00EF27D9"/>
    <w:rsid w:val="00EF3C52"/>
    <w:rsid w:val="00EF70EB"/>
    <w:rsid w:val="00F00B75"/>
    <w:rsid w:val="00F02A2C"/>
    <w:rsid w:val="00F118E5"/>
    <w:rsid w:val="00F146F0"/>
    <w:rsid w:val="00F15F05"/>
    <w:rsid w:val="00F22530"/>
    <w:rsid w:val="00F24A43"/>
    <w:rsid w:val="00F2717E"/>
    <w:rsid w:val="00F278F0"/>
    <w:rsid w:val="00F27DFE"/>
    <w:rsid w:val="00F366CF"/>
    <w:rsid w:val="00F41CA8"/>
    <w:rsid w:val="00F528FA"/>
    <w:rsid w:val="00F555A1"/>
    <w:rsid w:val="00F61B6C"/>
    <w:rsid w:val="00F65C9E"/>
    <w:rsid w:val="00F81756"/>
    <w:rsid w:val="00F84F22"/>
    <w:rsid w:val="00F975EB"/>
    <w:rsid w:val="00FA4B67"/>
    <w:rsid w:val="00FA4FFA"/>
    <w:rsid w:val="00FA5660"/>
    <w:rsid w:val="00FA67CB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  <w:style w:type="paragraph" w:customStyle="1" w:styleId="norm">
    <w:name w:val="norm"/>
    <w:basedOn w:val="Normal"/>
    <w:link w:val="normChar"/>
    <w:rsid w:val="00AE0FCD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D5ED6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A332E8"/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F9AA-81C4-47C4-BD66-4282F75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11</cp:revision>
  <cp:lastPrinted>2018-11-05T13:40:00Z</cp:lastPrinted>
  <dcterms:created xsi:type="dcterms:W3CDTF">2018-11-05T08:22:00Z</dcterms:created>
  <dcterms:modified xsi:type="dcterms:W3CDTF">2018-11-08T11:46:00Z</dcterms:modified>
</cp:coreProperties>
</file>