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B0" w:rsidRPr="00B5287E" w:rsidRDefault="00531CB0" w:rsidP="001405C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1405CC" w:rsidRPr="00DB26FB" w:rsidRDefault="001405CC" w:rsidP="001405C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DB26F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ՀԻՄՆԱՎՈՐՈՒՄ</w:t>
      </w:r>
    </w:p>
    <w:p w:rsidR="001405CC" w:rsidRPr="00DB26FB" w:rsidRDefault="001405CC" w:rsidP="001405C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DB26F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«ՀԱՅԱՍՏԱՆԻ ՀԱՆՐԱՊԵՏՈՒԹՅԱՆ ՀԱՐԿԱՅԻՆ ԾԱՌԱՅՈՒԹՅԱՆ ՄԱՍԻՆ ՕՐԵՆՔՈՒՄ </w:t>
      </w:r>
      <w:r w:rsidRPr="00E0317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ԼՐԱՑՈՒՄՆԵՐ ԵՎ ՓՈՓՈԽՈՒԹՅՈՒՆ ԿԱՏԱՐԵԼՈՒ </w:t>
      </w:r>
      <w:r w:rsidRPr="00DB26F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ՄԱՍԻՆ» ՀԱՅԱՍՏԱՆԻ ՀԱՆՐԱՊԵՏՈՒԹՅԱՆ ՕՐԵՆՔԻ ՆԱԽԱԳԾԻ ԸՆԴՈՒՆՄԱՆ</w:t>
      </w:r>
    </w:p>
    <w:p w:rsidR="001405CC" w:rsidRPr="00DB26FB" w:rsidRDefault="001405CC" w:rsidP="001405CC">
      <w:pPr>
        <w:pStyle w:val="NoSpacing"/>
        <w:spacing w:line="276" w:lineRule="auto"/>
        <w:ind w:firstLine="37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405CC" w:rsidRPr="008E0DFB" w:rsidRDefault="001405CC" w:rsidP="001405C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DB26FB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:rsidR="001405CC" w:rsidRPr="00DB26FB" w:rsidRDefault="001405CC" w:rsidP="001405C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 w:eastAsia="ru-RU"/>
        </w:rPr>
      </w:pPr>
      <w:r w:rsidRPr="007455A2">
        <w:rPr>
          <w:rFonts w:ascii="GHEA Grapalat" w:eastAsia="Calibri" w:hAnsi="GHEA Grapalat" w:cs="Sylfaen"/>
          <w:sz w:val="24"/>
          <w:szCs w:val="24"/>
          <w:lang w:val="hy-AM" w:eastAsia="ru-RU"/>
        </w:rPr>
        <w:tab/>
      </w:r>
      <w:r w:rsidRPr="00E0317F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ՀՀ պետական եկամուտների կոմիտեն (այսուհետ՝ Կոմիտե) նախաձեռնել 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է լայնածավալ ուսումնական միջոցառումների ծրագիր` հարկային և մաքսային ծառայություններում աշխատելու ցանկություն ունեցող անձանց համար: Այդ ուղղությամբ գործուն քայլեր են ձեռնարկվում միջազգային հեղինակավոր կազմակերպությունների (այդ թվում` ՏՀԶԿ և Համաշխարհային մաքսային կազմակերպություն) և զարգացած երկրների (այդ թվում` ԱՄՆ և ԵՄ անդամ երկրներ) հետ համագործակցելու և օժանդակություն ստանալու, միջազգային լավագույն փորձը ներդնելու համար: </w:t>
      </w:r>
    </w:p>
    <w:p w:rsidR="001405CC" w:rsidRPr="00DB26FB" w:rsidRDefault="001405CC" w:rsidP="001405C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 w:eastAsia="ru-RU"/>
        </w:rPr>
      </w:pP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ab/>
        <w:t xml:space="preserve">Անցկացվող միջոցառումների արդյունքում ակնկալվում է կադրային քաղաքականության էական առաջընթաց, հակակոռուպցիոն գործելաոճի և բարեվարքության նոր մակարդակ: </w:t>
      </w:r>
    </w:p>
    <w:p w:rsidR="001405CC" w:rsidRPr="002A716F" w:rsidRDefault="001405CC" w:rsidP="001405C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 w:eastAsia="ru-RU"/>
        </w:rPr>
      </w:pP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ab/>
        <w:t xml:space="preserve">Անցկացվող միջոցառումների արդյունավետությունն ապահովելու համար Կոմիտեի կողմից մշակվել </w:t>
      </w:r>
      <w:r w:rsidR="000C511D">
        <w:rPr>
          <w:rFonts w:ascii="GHEA Grapalat" w:eastAsia="Calibri" w:hAnsi="GHEA Grapalat" w:cs="Sylfaen"/>
          <w:sz w:val="24"/>
          <w:szCs w:val="24"/>
          <w:lang w:val="hy-AM" w:eastAsia="ru-RU"/>
        </w:rPr>
        <w:t>է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</w:t>
      </w:r>
      <w:r w:rsidR="00506B8C" w:rsidRPr="00531CB0">
        <w:rPr>
          <w:rFonts w:ascii="GHEA Grapalat" w:eastAsia="Calibri" w:hAnsi="GHEA Grapalat" w:cs="Sylfaen"/>
          <w:sz w:val="24"/>
          <w:szCs w:val="24"/>
          <w:lang w:val="hy-AM" w:eastAsia="ru-RU"/>
        </w:rPr>
        <w:t>«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«Հարկային </w:t>
      </w:r>
      <w:r w:rsidR="00506B8C">
        <w:rPr>
          <w:rFonts w:ascii="GHEA Grapalat" w:eastAsia="Calibri" w:hAnsi="GHEA Grapalat" w:cs="Sylfaen"/>
          <w:sz w:val="24"/>
          <w:szCs w:val="24"/>
          <w:lang w:val="hy-AM" w:eastAsia="ru-RU"/>
        </w:rPr>
        <w:t>ծ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առայության մասին» </w:t>
      </w:r>
      <w:r w:rsidR="00506B8C" w:rsidRPr="00531CB0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Հայաստանի Հանրապետության օրենքում լրացումներ և փոփոխություն կատարելու մասին» ՀՀ 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օրենքների </w:t>
      </w:r>
      <w:r w:rsidR="00506B8C">
        <w:rPr>
          <w:rFonts w:ascii="GHEA Grapalat" w:eastAsia="Calibri" w:hAnsi="GHEA Grapalat" w:cs="Sylfaen"/>
          <w:sz w:val="24"/>
          <w:szCs w:val="24"/>
          <w:lang w:val="hy-AM" w:eastAsia="ru-RU"/>
        </w:rPr>
        <w:t>նախագիծ</w:t>
      </w:r>
      <w:r w:rsidR="000C511D" w:rsidRPr="00531CB0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(նաև՝ ««Մաքսային ծառայության մասին» Հայաստանի Հանրապետության օրենքում լրացումներ և փոփոխություն կատարելու մասին»)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>, որի արդյունքում համապատասխան դասընթաց անցած (որն անցկացվելու է գիտելիքների նախնական ստուգում անցնելու և ավարտվելու է քննություն հանձնելուց և հավաստագիր ստանալու միջոցով) դիմորդները հնարավորություն են ունենալու նշանակվել հարկային ծառայության Գ և Դ խմբի ցանկացած պաշտոններում</w:t>
      </w:r>
      <w:r w:rsidR="00E93AA0" w:rsidRPr="00531CB0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(</w:t>
      </w:r>
      <w:r w:rsidR="00E93AA0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E93AA0">
        <w:rPr>
          <w:rFonts w:ascii="GHEA Grapalat" w:hAnsi="GHEA Grapalat"/>
          <w:sz w:val="24"/>
          <w:szCs w:val="24"/>
          <w:lang w:val="hy-AM"/>
        </w:rPr>
        <w:lastRenderedPageBreak/>
        <w:t>նաև մաքսային ծառայության կրտսեր և առաջատար խմբի ցանկացած պաշտոններում</w:t>
      </w:r>
      <w:r w:rsidR="00E93AA0" w:rsidRPr="00531CB0">
        <w:rPr>
          <w:rFonts w:ascii="GHEA Grapalat" w:eastAsia="Calibri" w:hAnsi="GHEA Grapalat" w:cs="Sylfaen"/>
          <w:sz w:val="24"/>
          <w:szCs w:val="24"/>
          <w:lang w:val="hy-AM" w:eastAsia="ru-RU"/>
        </w:rPr>
        <w:t>)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: Այնինչ, «Քաղաքացիական ծառայության մասին» </w:t>
      </w:r>
      <w:r w:rsidR="00506B8C" w:rsidRPr="00531CB0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ՀՀ </w:t>
      </w:r>
      <w:r w:rsidRPr="00DB26FB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օրենքի 7-րդ հոդվածով նախատեսված աշխատանքային ստաժին վերաբերող ցենզերը հնարավորություն չեն տա հասնել ցանկալի արդյունքին և կխոչընդոտեն Կոմիտեն` միջազգային լավագույն փորձով և բարեվարքության կանոններով պատրաստված երիտասարդ մասնագետներով համալրելուն: </w:t>
      </w:r>
    </w:p>
    <w:p w:rsidR="001405CC" w:rsidRPr="00DB26FB" w:rsidRDefault="001405CC" w:rsidP="001405C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26FB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1405CC" w:rsidRPr="000748AA" w:rsidRDefault="000748AA" w:rsidP="000748AA">
      <w:pPr>
        <w:tabs>
          <w:tab w:val="left" w:pos="567"/>
          <w:tab w:val="left" w:pos="709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26000">
        <w:rPr>
          <w:rFonts w:ascii="GHEA Grapalat" w:hAnsi="GHEA Grapalat" w:cs="Sylfaen"/>
          <w:sz w:val="24"/>
          <w:szCs w:val="24"/>
          <w:lang w:val="hy-AM"/>
        </w:rPr>
        <w:tab/>
      </w:r>
      <w:r w:rsidR="001405CC" w:rsidRPr="000748AA">
        <w:rPr>
          <w:rFonts w:ascii="GHEA Grapalat" w:hAnsi="GHEA Grapalat" w:cs="Sylfaen"/>
          <w:sz w:val="24"/>
          <w:szCs w:val="24"/>
          <w:lang w:val="hy-AM"/>
        </w:rPr>
        <w:t>Նախագիծը մշակվել է Կոմիտեի իրավաբանական վարչության կողմից:</w:t>
      </w:r>
    </w:p>
    <w:p w:rsidR="000748AA" w:rsidRPr="000748AA" w:rsidRDefault="001405CC" w:rsidP="000748AA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DB26FB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DB26F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DB26FB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DB26F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B26FB"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 w:rsidRPr="00DB26FB">
        <w:rPr>
          <w:rFonts w:ascii="GHEA Grapalat" w:hAnsi="GHEA Grapalat"/>
          <w:b/>
          <w:sz w:val="24"/>
          <w:szCs w:val="24"/>
        </w:rPr>
        <w:t>.</w:t>
      </w:r>
    </w:p>
    <w:p w:rsidR="001405CC" w:rsidRPr="00826000" w:rsidRDefault="000748AA" w:rsidP="000748AA">
      <w:pPr>
        <w:pStyle w:val="ListParagraph"/>
        <w:tabs>
          <w:tab w:val="left" w:pos="567"/>
          <w:tab w:val="left" w:pos="993"/>
        </w:tabs>
        <w:spacing w:line="360" w:lineRule="auto"/>
        <w:ind w:left="360"/>
        <w:jc w:val="both"/>
        <w:rPr>
          <w:rFonts w:ascii="GHEA Grapalat" w:hAnsi="GHEA Grapalat"/>
          <w:b/>
          <w:sz w:val="24"/>
          <w:szCs w:val="24"/>
        </w:rPr>
      </w:pPr>
      <w:r w:rsidRPr="00826000">
        <w:rPr>
          <w:rFonts w:ascii="GHEA Grapalat" w:hAnsi="GHEA Grapalat"/>
          <w:b/>
          <w:sz w:val="24"/>
          <w:szCs w:val="24"/>
        </w:rPr>
        <w:tab/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Նպատակը</w:t>
      </w:r>
      <w:proofErr w:type="spellEnd"/>
      <w:r w:rsidR="001405CC" w:rsidRPr="000748AA">
        <w:rPr>
          <w:rFonts w:ascii="GHEA Grapalat" w:eastAsia="Times New Roman" w:hAnsi="GHEA Grapalat" w:cs="Sylfaen"/>
          <w:sz w:val="24"/>
          <w:szCs w:val="24"/>
        </w:rPr>
        <w:t>՝</w:t>
      </w:r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ծրագրի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գործողությունը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տարածել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միայն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վերը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նշված</w:t>
      </w:r>
      <w:r w:rsidR="001405CC" w:rsidRPr="00826000">
        <w:rPr>
          <w:rFonts w:ascii="GHEA Grapalat" w:eastAsia="Times New Roman" w:hAnsi="GHEA Grapalat" w:cs="Sylfaen"/>
          <w:sz w:val="24"/>
          <w:szCs w:val="24"/>
        </w:rPr>
        <w:t>`</w:t>
      </w:r>
      <w:r w:rsidR="001405CC" w:rsidRPr="000748AA">
        <w:rPr>
          <w:rFonts w:ascii="GHEA Grapalat" w:eastAsia="Times New Roman" w:hAnsi="GHEA Grapalat" w:cs="Sylfaen"/>
          <w:sz w:val="24"/>
          <w:szCs w:val="24"/>
        </w:rPr>
        <w:t>Կոմիտեին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աջակցող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մասնագիտական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405CC" w:rsidRPr="000748AA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1405CC" w:rsidRPr="00826000">
        <w:rPr>
          <w:rFonts w:ascii="GHEA Grapalat" w:eastAsia="Times New Roman" w:hAnsi="GHEA Grapalat" w:cs="Sylfaen"/>
          <w:sz w:val="24"/>
          <w:szCs w:val="24"/>
        </w:rPr>
        <w:t>:</w:t>
      </w: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EF3B88" w:rsidRPr="00826000" w:rsidRDefault="00EF3B88" w:rsidP="001405CC">
      <w:pPr>
        <w:tabs>
          <w:tab w:val="left" w:pos="720"/>
          <w:tab w:val="left" w:pos="108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  <w:bookmarkStart w:id="0" w:name="_GoBack"/>
      <w:bookmarkEnd w:id="0"/>
    </w:p>
    <w:sectPr w:rsidR="00EF3B88" w:rsidRPr="00826000" w:rsidSect="0035021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16C"/>
    <w:multiLevelType w:val="hybridMultilevel"/>
    <w:tmpl w:val="C26AE00C"/>
    <w:lvl w:ilvl="0" w:tplc="C1905FD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8841D8"/>
    <w:multiLevelType w:val="hybridMultilevel"/>
    <w:tmpl w:val="4698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5DEF"/>
    <w:multiLevelType w:val="hybridMultilevel"/>
    <w:tmpl w:val="B2840796"/>
    <w:lvl w:ilvl="0" w:tplc="4F303392">
      <w:start w:val="1"/>
      <w:numFmt w:val="decimal"/>
      <w:lvlText w:val="%1)"/>
      <w:lvlJc w:val="left"/>
      <w:pPr>
        <w:ind w:left="164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73F30235"/>
    <w:multiLevelType w:val="hybridMultilevel"/>
    <w:tmpl w:val="E48452B8"/>
    <w:lvl w:ilvl="0" w:tplc="F1AAD04E">
      <w:start w:val="1"/>
      <w:numFmt w:val="decimal"/>
      <w:lvlText w:val="%1)"/>
      <w:lvlJc w:val="left"/>
      <w:pPr>
        <w:ind w:left="714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74152D41"/>
    <w:multiLevelType w:val="hybridMultilevel"/>
    <w:tmpl w:val="9FC4D3F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>
    <w:nsid w:val="7E670FAE"/>
    <w:multiLevelType w:val="hybridMultilevel"/>
    <w:tmpl w:val="8616760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7C"/>
    <w:rsid w:val="000144F8"/>
    <w:rsid w:val="00032D7C"/>
    <w:rsid w:val="000748AA"/>
    <w:rsid w:val="000C511D"/>
    <w:rsid w:val="001405CC"/>
    <w:rsid w:val="0035021C"/>
    <w:rsid w:val="0045306F"/>
    <w:rsid w:val="00506B8C"/>
    <w:rsid w:val="00531CB0"/>
    <w:rsid w:val="005C3D5B"/>
    <w:rsid w:val="00627CB6"/>
    <w:rsid w:val="006F047C"/>
    <w:rsid w:val="007141F0"/>
    <w:rsid w:val="00826000"/>
    <w:rsid w:val="00AC1F25"/>
    <w:rsid w:val="00AE30A6"/>
    <w:rsid w:val="00B253A7"/>
    <w:rsid w:val="00B5287E"/>
    <w:rsid w:val="00DC4C33"/>
    <w:rsid w:val="00E93AA0"/>
    <w:rsid w:val="00EF3B88"/>
    <w:rsid w:val="00F8372A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05C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1405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1405CC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405CC"/>
    <w:rPr>
      <w:rFonts w:ascii="Calibri" w:eastAsia="Calibri" w:hAnsi="Calibri" w:cs="Times New Roman"/>
      <w:lang w:val="ru-RU" w:eastAsia="ru-RU"/>
    </w:rPr>
  </w:style>
  <w:style w:type="character" w:styleId="Strong">
    <w:name w:val="Strong"/>
    <w:uiPriority w:val="22"/>
    <w:qFormat/>
    <w:rsid w:val="001405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05C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1405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1405CC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405CC"/>
    <w:rPr>
      <w:rFonts w:ascii="Calibri" w:eastAsia="Calibri" w:hAnsi="Calibri" w:cs="Times New Roman"/>
      <w:lang w:val="ru-RU" w:eastAsia="ru-RU"/>
    </w:rPr>
  </w:style>
  <w:style w:type="character" w:styleId="Strong">
    <w:name w:val="Strong"/>
    <w:uiPriority w:val="22"/>
    <w:qFormat/>
    <w:rsid w:val="00140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Hasmik M. Manukyan</cp:lastModifiedBy>
  <cp:revision>24</cp:revision>
  <dcterms:created xsi:type="dcterms:W3CDTF">2018-10-02T16:09:00Z</dcterms:created>
  <dcterms:modified xsi:type="dcterms:W3CDTF">2018-10-03T11:08:00Z</dcterms:modified>
</cp:coreProperties>
</file>