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67" w:rsidRPr="00A363A7" w:rsidRDefault="00636667" w:rsidP="00636667">
      <w:pPr>
        <w:shd w:val="clear" w:color="auto" w:fill="FFFFFF"/>
        <w:suppressAutoHyphens/>
        <w:spacing w:after="0" w:line="360" w:lineRule="auto"/>
        <w:jc w:val="center"/>
        <w:rPr>
          <w:rFonts w:eastAsia="Merriweather" w:cs="Times New Roman"/>
          <w:b/>
          <w:bCs/>
          <w:color w:val="000000"/>
          <w:kern w:val="1"/>
          <w:sz w:val="24"/>
          <w:szCs w:val="24"/>
          <w:lang w:val="hy-AM" w:eastAsia="ar-SA"/>
        </w:rPr>
      </w:pPr>
      <w:r w:rsidRPr="00A363A7">
        <w:rPr>
          <w:rFonts w:eastAsia="GHEA Grapalat" w:cs="GHEA Grapalat"/>
          <w:b/>
          <w:kern w:val="1"/>
          <w:sz w:val="24"/>
          <w:szCs w:val="24"/>
          <w:lang w:val="hy-AM" w:eastAsia="ar-SA"/>
        </w:rPr>
        <w:t>«</w:t>
      </w:r>
      <w:r w:rsidRPr="00A363A7">
        <w:rPr>
          <w:rFonts w:eastAsia="Times New Roman" w:cs="GHEA Grapalat"/>
          <w:b/>
          <w:bCs/>
          <w:spacing w:val="-1"/>
          <w:kern w:val="1"/>
          <w:sz w:val="24"/>
          <w:szCs w:val="24"/>
          <w:lang w:val="hy-AM" w:eastAsia="ar-SA"/>
        </w:rPr>
        <w:t>ՀԵՂԻՆԱԿԱՅԻՆ ԻՐԱՎՈՒՆՔԻ ԵՎ ՀԱՐԱԿԻՑ ԻՐԱՎՈՒՆՔՆԵՐԻ ՄԱՍԻՆ</w:t>
      </w:r>
      <w:r w:rsidRPr="00A363A7">
        <w:rPr>
          <w:rFonts w:eastAsia="GHEA Grapalat" w:cs="GHEA Grapalat"/>
          <w:b/>
          <w:kern w:val="1"/>
          <w:sz w:val="24"/>
          <w:szCs w:val="24"/>
          <w:lang w:val="hy-AM" w:eastAsia="ar-SA"/>
        </w:rPr>
        <w:t xml:space="preserve">» </w:t>
      </w:r>
      <w:r w:rsidRPr="00A363A7">
        <w:rPr>
          <w:rFonts w:eastAsia="Merriweather" w:cs="Times New Roman"/>
          <w:b/>
          <w:bCs/>
          <w:color w:val="000000"/>
          <w:kern w:val="1"/>
          <w:sz w:val="24"/>
          <w:szCs w:val="24"/>
          <w:shd w:val="clear" w:color="auto" w:fill="FFFFFF"/>
          <w:lang w:val="hy-AM" w:eastAsia="ar-SA"/>
        </w:rPr>
        <w:t>ՀԱՅԱՍՏԱՆԻ ՀԱՆՐԱՊԵՏՈՒԹՅԱՆ</w:t>
      </w:r>
      <w:r w:rsidRPr="00A363A7">
        <w:rPr>
          <w:rFonts w:eastAsia="GHEA Grapalat" w:cs="GHEA Grapalat"/>
          <w:b/>
          <w:kern w:val="1"/>
          <w:sz w:val="24"/>
          <w:szCs w:val="24"/>
          <w:lang w:val="hy-AM" w:eastAsia="ar-SA"/>
        </w:rPr>
        <w:t xml:space="preserve"> </w:t>
      </w:r>
      <w:r w:rsidRPr="00A363A7">
        <w:rPr>
          <w:rFonts w:eastAsia="Merriweather" w:cs="Times New Roman"/>
          <w:b/>
          <w:bCs/>
          <w:color w:val="000000"/>
          <w:kern w:val="1"/>
          <w:sz w:val="24"/>
          <w:szCs w:val="24"/>
          <w:lang w:val="hy-AM" w:eastAsia="ar-SA"/>
        </w:rPr>
        <w:t xml:space="preserve">ՕՐԵՆՔՈՒՄ ՓՈՓՈԽՈՒԹՅՈՒՆ ԿԱՏԱՐԵԼՈՒ ՄԱՍԻՆ </w:t>
      </w:r>
      <w:r w:rsidRPr="00A363A7">
        <w:rPr>
          <w:rFonts w:eastAsia="Times New Roman" w:cs="Sylfaen"/>
          <w:b/>
          <w:kern w:val="1"/>
          <w:sz w:val="24"/>
          <w:szCs w:val="24"/>
          <w:lang w:val="hy-AM" w:eastAsia="ar-SA"/>
        </w:rPr>
        <w:t>ՀՀ ՕՐԵՆՔԻ ՆԱԽԱԳԾԻ ԸՆԴՈՒՆՄԱՆ ՀԻՄՆԱՎՈՐՈՒՄ</w:t>
      </w:r>
    </w:p>
    <w:p w:rsidR="00636667" w:rsidRPr="00A363A7" w:rsidRDefault="00636667" w:rsidP="0063666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suppressAutoHyphens/>
        <w:spacing w:after="0" w:line="100" w:lineRule="atLeast"/>
        <w:rPr>
          <w:rFonts w:ascii="Times New Roman" w:eastAsia="Calibri" w:hAnsi="Times New Roman" w:cs="Times New Roman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numPr>
          <w:ilvl w:val="2"/>
          <w:numId w:val="1"/>
        </w:num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es-ES" w:eastAsia="ar-SA"/>
        </w:rPr>
      </w:pPr>
      <w:r w:rsidRPr="00A363A7">
        <w:rPr>
          <w:rFonts w:eastAsia="Calibri" w:cs="GHEA Grapalat"/>
          <w:b/>
          <w:bCs/>
          <w:kern w:val="1"/>
          <w:sz w:val="24"/>
          <w:szCs w:val="24"/>
          <w:lang w:val="hy-AM" w:eastAsia="ar-SA"/>
        </w:rPr>
        <w:t>Իրավական ակտի անհրաժեշտությունը.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es-ES" w:eastAsia="ar-SA"/>
        </w:rPr>
      </w:pPr>
      <w:r w:rsidRPr="00A363A7">
        <w:rPr>
          <w:rFonts w:eastAsia="Calibri" w:cs="Sylfaen"/>
          <w:kern w:val="2"/>
          <w:sz w:val="24"/>
          <w:szCs w:val="24"/>
          <w:lang w:val="hy-AM" w:eastAsia="ar-SA"/>
        </w:rPr>
        <w:t>«</w:t>
      </w:r>
      <w:r w:rsidRPr="00A363A7">
        <w:rPr>
          <w:rFonts w:eastAsia="Merriweather" w:cs="Times New Roman"/>
          <w:bCs/>
          <w:kern w:val="1"/>
          <w:sz w:val="24"/>
          <w:szCs w:val="24"/>
          <w:lang w:val="hy-AM" w:eastAsia="ar-SA"/>
        </w:rPr>
        <w:t>«Հեղինակային իրավունքի և հարակից իրավունքների մասին»</w:t>
      </w:r>
      <w:r w:rsidRPr="00A363A7">
        <w:rPr>
          <w:rFonts w:eastAsia="Merriweather" w:cs="Times New Roman"/>
          <w:b/>
          <w:bCs/>
          <w:kern w:val="1"/>
          <w:sz w:val="24"/>
          <w:szCs w:val="24"/>
          <w:lang w:val="hy-AM" w:eastAsia="ar-SA"/>
        </w:rPr>
        <w:t xml:space="preserve"> </w:t>
      </w:r>
      <w:r w:rsidRPr="00A363A7">
        <w:rPr>
          <w:rFonts w:eastAsia="Calibri" w:cs="Sylfaen"/>
          <w:kern w:val="2"/>
          <w:sz w:val="24"/>
          <w:szCs w:val="24"/>
          <w:lang w:val="hy-AM" w:eastAsia="ar-SA"/>
        </w:rPr>
        <w:t xml:space="preserve">Հայաստանի Հանրապետության օրենքում փոփոխություն կատարելու մասին» Հայաստանի Հանրապետության օրենքի նախագծի (այսուհետ՝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Նախագ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ի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ծ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)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ներկայացումը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բխում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է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հեղինակային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իրավունքի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բնագավառի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հարաբերությունները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կարգավորող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օրենսդրության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կատարելագործման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անհրաժեշտությունից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։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es-ES" w:eastAsia="ar-SA"/>
        </w:rPr>
      </w:pP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es-ES" w:eastAsia="ar-SA"/>
        </w:rPr>
      </w:pPr>
      <w:r w:rsidRPr="00A363A7">
        <w:rPr>
          <w:rFonts w:eastAsia="Calibri" w:cs="GHEA Grapalat"/>
          <w:b/>
          <w:kern w:val="1"/>
          <w:sz w:val="24"/>
          <w:szCs w:val="24"/>
          <w:lang w:val="hy-AM" w:eastAsia="ar-SA"/>
        </w:rPr>
        <w:t>2. Ընթացիկ իրավիճակը և առկա խնդիրները.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Տեխնիկայի և տեխնոլոգիաների զարգացմանը զուգահեռ ներկայումս աշխարհում ընդլայնվում են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գրականության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գիտության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արվեստի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բնագավառների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ստեղծագործությունների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օգտագործման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տարածման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հետ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կապված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հնարավորությունները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ինչն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հերթին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հանգեցնում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է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նոր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չկարգավորված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իրավահարաբերություննեերի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առաջացմանը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: Այսօր թվային միջավայրում և գլոբալ ցանցերում ստեղծագործությունների օրինական օգտագործումն ապահովելու նպատակով անհրաժեշտ են հեղինակային իրավունքի և հարակից իրավունքների պահպանության  հուսալի և արդյունավետ միջոցներ: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</w:pP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Գործող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«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Հեղինակային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իրավունքի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հարակից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իրավունքների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մասին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» ՀՀ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օրենքի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շարք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դրույթներ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չեն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համապատասխանում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ներկայումս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միջազգային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պրակտիկայում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կիրառվող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որոշ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մոտեցու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մներին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ենթակա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են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վերանայման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։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Մասնավորապես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օրենքի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ընդունումից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հետո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մշակվել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ուժի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մեջ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են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մտել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>երկու նոր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միջազգային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պայմանագրեր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։</w:t>
      </w:r>
    </w:p>
    <w:p w:rsidR="00636667" w:rsidRPr="00A363A7" w:rsidRDefault="00636667" w:rsidP="00636667">
      <w:pPr>
        <w:suppressAutoHyphens/>
        <w:spacing w:after="0" w:line="360" w:lineRule="auto"/>
        <w:jc w:val="both"/>
        <w:rPr>
          <w:rFonts w:eastAsia="Calibri" w:cs="GHEA Grapalat"/>
          <w:kern w:val="1"/>
          <w:sz w:val="24"/>
          <w:szCs w:val="24"/>
          <w:lang w:val="es-ES" w:eastAsia="ar-SA"/>
        </w:rPr>
      </w:pP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ab/>
        <w:t>«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Տեսալսողական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>կատարումների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մասին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» 2012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թվականի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Պեկինի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 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>պայմանա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գիրը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նպատակ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ունի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կատարելագործել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կատարողների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իրավունքներ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 xml:space="preserve">ը և նրանց տրամադրել 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ա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վելի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արդյունավետ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ու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միատեսակ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պահպանություն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:</w:t>
      </w:r>
    </w:p>
    <w:p w:rsidR="00636667" w:rsidRPr="00A363A7" w:rsidRDefault="00636667" w:rsidP="00636667">
      <w:pPr>
        <w:suppressAutoHyphens/>
        <w:spacing w:after="0" w:line="360" w:lineRule="auto"/>
        <w:jc w:val="both"/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lastRenderedPageBreak/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ab/>
        <w:t xml:space="preserve">2013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թվական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ին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Մարաքեշում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ընդունված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«Կույրերի, տեսողական հաշմանդամություն ունեցող կամ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ընթերցողական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այլ դժվարություններ ունեցող անձանց համար հրատարակված ստեղծագործությունների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հասանելիությունը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դյուրացնելու մասին» պայմանագիրը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նախատեսում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է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հեղինակային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իրավունքի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որոշակի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սահմանափակումներ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որոնք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հնարավորություն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կտան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հաշմանդամություն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ունեցող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անձանց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՝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ավելի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լիարժեք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ու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արդյունավետ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մասնակց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ելու և ներգրավվելու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հասարակական և մշակութային կյանքին: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Գործող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օրենքի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այն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դրույթները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որոնք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վերաբերում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են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>ուսումնական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հաստատությունների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գրադարանների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կողմից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ստեղծագործությունների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es-ES" w:eastAsia="ar-SA"/>
        </w:rPr>
        <w:t>վերարտադրմ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անը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չեն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համապատասխանում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ներկայիս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պահանջներին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և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այդ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կապակցությամբ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անհրաժեշտություն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հստակ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սահմանափակումներ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մտցնել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այդ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ստեղծագործությունների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իրավունքների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նկատմամբ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։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Նախագծում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ընդգրկված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հեղինակային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իրավունքի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սահմանափակումները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նպատակաուղղված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են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հանրության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շրջանում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գիտելիքի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մշակութային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արժեքների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ստեղծագործությունների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էլ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ավելի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լայն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հասանելիության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ապահովմանը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։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Դրանք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հնարավորություն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կտան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կրթական հաստատություններին և գիտահետազոտական ինստիտուտներին,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գրադարաններին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ու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արխիվներին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ոչ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առևտրային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հիմունքներով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ստեղծագործություններ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մատակարարել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միմյանց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՝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իրենց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ընթերցողներին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տրամադրելու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ինչպես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նաև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ստեղծագործությունների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օրինակներն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ուսանողներին ներքին ապահով ցանցով տրամադրելու համար: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Գործող օրենքով լիարժեք կարգավորված չէ 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գույքային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իրավունքների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կոլեկտիվ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կառավարման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համակարգը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,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որը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կատարելագործման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կարիք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ունի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: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Նախագծում նախատեսվում է մտավոր սեփականության ոլորտում պետական լիազոր մարմնի կողմից գույքային իրավունքները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կոլեկտիվ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հիմունքներով</w:t>
      </w:r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 xml:space="preserve">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es-ES" w:eastAsia="ar-SA"/>
        </w:rPr>
        <w:t>կառավար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ող կազմակերպությունների հավատարմագրման գործընթացը և հավատարմագիր ստանալու համար անհրաժեշտ պայմանները: Նախատեսված են դրանց գործունեության նկատմամբ վերահսկողության գործուն մեխանիզմներ: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Մասնավորապես՝ կազմակերպությանն անդամակցող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իրավատերերին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իրավունք է վերապահվել ստուգել տարեկան հաշվետվությունները, ծանոթանալ իրենց հասանելիք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հոնորարների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հաշվարկման-բաշխման փաստաթղթերին, ինչպես նաև, անհրաժեշտության դեպքում, հրավիրել անկախ աուդիտ։ Կազմակերպության 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lastRenderedPageBreak/>
        <w:t xml:space="preserve">գործունեության վերահսկողության իրավունք է վերապահվել նաև պետական լիազոր մարմնին: 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 xml:space="preserve">Մի շարք խնդիրներ կան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նաև մալուխային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վերահաղ</w:t>
      </w:r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>որդումների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 xml:space="preserve"> հետ կապված հեղինակային իրավունքին և հարակից իրավունքներին առնչվող հարաբերությունների, ինչպես նաև տեսալսողական կատարումների </w:t>
      </w:r>
      <w:proofErr w:type="spellStart"/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>ամրագրումների</w:t>
      </w:r>
      <w:proofErr w:type="spellEnd"/>
      <w:r w:rsidRPr="00A363A7">
        <w:rPr>
          <w:rFonts w:eastAsia="Calibri" w:cs="GHEA Grapalat"/>
          <w:color w:val="000000"/>
          <w:kern w:val="1"/>
          <w:sz w:val="24"/>
          <w:szCs w:val="24"/>
          <w:lang w:val="hy-AM" w:eastAsia="ar-SA"/>
        </w:rPr>
        <w:t xml:space="preserve"> արտադրության և օգտագործման հետ կապված հարաբերությունների կարգավորման հարցերում։ 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Այս կապակցությամբ արդիական պահանջ է դարձել հեղինակային իրավունքի օրենսդրության վերանայումն ու նոր մոտեցումների սահմանումը։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b/>
          <w:kern w:val="1"/>
          <w:sz w:val="24"/>
          <w:szCs w:val="24"/>
          <w:lang w:val="hy-AM" w:eastAsia="ar-SA"/>
        </w:rPr>
        <w:t>3. Տվյալ բնագավառում իրականացվող քաղաքականությունը.</w:t>
      </w:r>
    </w:p>
    <w:p w:rsidR="00636667" w:rsidRPr="00A363A7" w:rsidRDefault="00636667" w:rsidP="00636667">
      <w:pPr>
        <w:suppressAutoHyphens/>
        <w:spacing w:after="266" w:line="360" w:lineRule="auto"/>
        <w:ind w:firstLine="720"/>
        <w:jc w:val="both"/>
        <w:rPr>
          <w:rFonts w:eastAsia="Calibri" w:cs="GHEA Grapalat"/>
          <w:b/>
          <w:bCs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Ներկայումս ՀՀ կառավարության կողմից իրականացվող քաղաքականությունն ուղղված է մտավոր սեփականության իրավունքների, մասնավորապես հեղինակային իրավունքի և հարակից իրավունքների հուսալի և արդյունավետ պաշտպանության ապահովմանը, ինչը ենթադրում է համապատասխան օրենսդրության   հստակեցում և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իրավակիրարկման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ոլորտի խնդիրների վերացում։ Մյուս կողմից իրականացվող քաղաքականությունը ենթադրում է, որ այդ իրավունքների տրամադրումն ու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կիրարկումը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պետք է համապատասխանի նաև հանրության շահերին և բացառի չարաշահման հնարավորությունները։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b/>
          <w:bCs/>
          <w:kern w:val="1"/>
          <w:sz w:val="24"/>
          <w:szCs w:val="24"/>
          <w:lang w:val="hy-AM" w:eastAsia="ar-SA"/>
        </w:rPr>
        <w:t xml:space="preserve">4. Կարգավորման նպատակը և բնույթը. </w:t>
      </w:r>
    </w:p>
    <w:p w:rsidR="00636667" w:rsidRPr="00A363A7" w:rsidRDefault="00636667" w:rsidP="00636667">
      <w:pPr>
        <w:suppressAutoHyphens/>
        <w:spacing w:after="0" w:line="360" w:lineRule="auto"/>
        <w:ind w:right="90"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Նախագծի նպատակը հեղինակային իրավունքի և հարակից իրավունքների իրավական պահպանության օրենսդրության կատարելագործումն է՝ </w:t>
      </w:r>
      <w:r w:rsidRPr="00A363A7">
        <w:rPr>
          <w:rFonts w:eastAsia="Calibri" w:cs="GHEA Grapalat"/>
          <w:kern w:val="1"/>
          <w:sz w:val="24"/>
          <w:szCs w:val="24"/>
          <w:lang w:val="af-ZA" w:eastAsia="ar-SA"/>
        </w:rPr>
        <w:t xml:space="preserve"> բնագավառի ներկա միջազգային զարգացումներին համարժեք մոտեցումների սահմանման ու մեխանիզմների կիրառման իրավական հիմքեր ստեղծելու միջոցով։ </w:t>
      </w: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Օրենքը նախագծելուց հաշվի են առնվել բնագավառում գործող միջազգային պայմանագրերով ստանձնած պարտավորությունները: </w:t>
      </w:r>
    </w:p>
    <w:p w:rsidR="00636667" w:rsidRPr="00A363A7" w:rsidRDefault="00636667" w:rsidP="00636667">
      <w:pPr>
        <w:suppressAutoHyphens/>
        <w:spacing w:after="0" w:line="360" w:lineRule="auto"/>
        <w:ind w:right="90"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suppressAutoHyphens/>
        <w:spacing w:after="0" w:line="360" w:lineRule="auto"/>
        <w:ind w:right="90"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b/>
          <w:bCs/>
          <w:kern w:val="1"/>
          <w:sz w:val="24"/>
          <w:szCs w:val="24"/>
          <w:lang w:val="hy-AM" w:eastAsia="ar-SA"/>
        </w:rPr>
        <w:t>5. Նախագծի մշակման գործընթացում ներգրավված ինստիտուտները և անձինք.</w:t>
      </w:r>
    </w:p>
    <w:p w:rsidR="00636667" w:rsidRPr="00A363A7" w:rsidRDefault="00636667" w:rsidP="00636667">
      <w:pPr>
        <w:suppressAutoHyphens/>
        <w:spacing w:after="0" w:line="360" w:lineRule="auto"/>
        <w:ind w:right="90"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Նախագիծը մշակվել է ՀՀ տնտեսական զարգացման և ներդրումների նախարարության կողմից։</w:t>
      </w: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hy-AM" w:eastAsia="ar-SA"/>
        </w:rPr>
      </w:pPr>
    </w:p>
    <w:p w:rsidR="00636667" w:rsidRPr="00A363A7" w:rsidRDefault="00636667" w:rsidP="00636667">
      <w:pPr>
        <w:suppressAutoHyphens/>
        <w:spacing w:after="0" w:line="360" w:lineRule="auto"/>
        <w:ind w:firstLine="720"/>
        <w:jc w:val="both"/>
        <w:rPr>
          <w:rFonts w:eastAsia="Calibri" w:cs="GHEA Grapalat"/>
          <w:kern w:val="1"/>
          <w:sz w:val="24"/>
          <w:szCs w:val="24"/>
          <w:lang w:val="hy-AM" w:eastAsia="ar-SA"/>
        </w:rPr>
      </w:pPr>
      <w:r w:rsidRPr="00A363A7">
        <w:rPr>
          <w:rFonts w:eastAsia="Calibri" w:cs="GHEA Grapalat"/>
          <w:b/>
          <w:kern w:val="1"/>
          <w:sz w:val="24"/>
          <w:szCs w:val="24"/>
          <w:lang w:val="hy-AM" w:eastAsia="ar-SA"/>
        </w:rPr>
        <w:t>6. Առաջարկվող</w:t>
      </w:r>
      <w:r w:rsidRPr="00A363A7">
        <w:rPr>
          <w:rFonts w:eastAsia="Calibri" w:cs="GHEA Grapalat"/>
          <w:b/>
          <w:kern w:val="1"/>
          <w:sz w:val="24"/>
          <w:szCs w:val="24"/>
          <w:lang w:val="af-ZA" w:eastAsia="ar-SA"/>
        </w:rPr>
        <w:t xml:space="preserve"> </w:t>
      </w:r>
      <w:r w:rsidRPr="00A363A7">
        <w:rPr>
          <w:rFonts w:eastAsia="Calibri" w:cs="GHEA Grapalat"/>
          <w:b/>
          <w:kern w:val="1"/>
          <w:sz w:val="24"/>
          <w:szCs w:val="24"/>
          <w:lang w:val="hy-AM" w:eastAsia="ar-SA"/>
        </w:rPr>
        <w:t>լուծումը և ակնկալվող արդյունքը</w:t>
      </w:r>
    </w:p>
    <w:p w:rsidR="00636667" w:rsidRPr="00A363A7" w:rsidRDefault="00636667" w:rsidP="00636667">
      <w:pPr>
        <w:rPr>
          <w:lang w:val="hy-AM"/>
        </w:rPr>
      </w:pPr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Նախագծի ընդունումը կապահովի առկա խնդիրների լուծումը, ինչը հնարավորություն կտա հուսալի և արդյունավետ կարգավորել հեղինակային իրավունքի և հարակից իրավունքների հետ կապված հարաբերությունները։ Բացի դրանից, նախագծի ընդունումը բավարար իրավական հիմքեր կստեղծի բնագավառի միջազգային </w:t>
      </w:r>
      <w:proofErr w:type="spellStart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>ինտեգրման</w:t>
      </w:r>
      <w:proofErr w:type="spellEnd"/>
      <w:r w:rsidRPr="00A363A7">
        <w:rPr>
          <w:rFonts w:eastAsia="Calibri" w:cs="GHEA Grapalat"/>
          <w:kern w:val="1"/>
          <w:sz w:val="24"/>
          <w:szCs w:val="24"/>
          <w:lang w:val="hy-AM" w:eastAsia="ar-SA"/>
        </w:rPr>
        <w:t xml:space="preserve"> գործընթացների համար։</w:t>
      </w:r>
    </w:p>
    <w:p w:rsidR="00AC03F3" w:rsidRPr="00636667" w:rsidRDefault="00AC03F3">
      <w:pPr>
        <w:rPr>
          <w:lang w:val="hy-AM"/>
        </w:rPr>
      </w:pPr>
      <w:bookmarkStart w:id="0" w:name="_GoBack"/>
      <w:bookmarkEnd w:id="0"/>
    </w:p>
    <w:sectPr w:rsidR="00AC03F3" w:rsidRPr="00636667" w:rsidSect="00657C53">
      <w:pgSz w:w="11907" w:h="16840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erriweathe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/>
        <w:b/>
        <w:i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ylfaen"/>
        <w:lang w:val="es-E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Sylfaen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67"/>
    <w:rsid w:val="00636667"/>
    <w:rsid w:val="00657C53"/>
    <w:rsid w:val="00A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Shahinyan</dc:creator>
  <cp:lastModifiedBy>Armenuhi Shahinyan</cp:lastModifiedBy>
  <cp:revision>1</cp:revision>
  <dcterms:created xsi:type="dcterms:W3CDTF">2018-08-28T11:42:00Z</dcterms:created>
  <dcterms:modified xsi:type="dcterms:W3CDTF">2018-08-28T11:43:00Z</dcterms:modified>
</cp:coreProperties>
</file>