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6A" w:rsidRDefault="002D0E78">
      <w:pPr>
        <w:pStyle w:val="headingtitleStyle"/>
      </w:pPr>
      <w:bookmarkStart w:id="0" w:name="_Toc1"/>
      <w:r>
        <w:t>Ամփոփաթերթ</w:t>
      </w:r>
      <w:bookmarkEnd w:id="0"/>
    </w:p>
    <w:p w:rsidR="00621A6A" w:rsidRDefault="002D0E78">
      <w:pPr>
        <w:pStyle w:val="headingtitleStyle"/>
      </w:pPr>
      <w:bookmarkStart w:id="1" w:name="_Toc2"/>
      <w:r>
        <w:t>««</w:t>
      </w:r>
      <w:r>
        <w:t>ՀԱՅԱՍՏԱՆԻ</w:t>
      </w:r>
      <w:r>
        <w:t xml:space="preserve"> </w:t>
      </w:r>
      <w:r>
        <w:t>ՀԱՆՐԱՊԵՏՈՒԹՅԱՆ</w:t>
      </w:r>
      <w:r>
        <w:t xml:space="preserve"> </w:t>
      </w:r>
      <w:r>
        <w:t>ԴԱՏԱԿԱՆ</w:t>
      </w:r>
      <w:r>
        <w:t xml:space="preserve"> </w:t>
      </w:r>
      <w:r>
        <w:t>ՕՐԵՆՍԳԻՐՔ</w:t>
      </w:r>
      <w:r>
        <w:t xml:space="preserve">» </w:t>
      </w:r>
      <w:r>
        <w:t>ՍԱՀՄԱՆԱԴՐԱԿԱՆ</w:t>
      </w:r>
      <w:r>
        <w:t xml:space="preserve"> </w:t>
      </w:r>
      <w:r>
        <w:t>ՕՐԵՆՔՈՒՄ</w:t>
      </w:r>
      <w:r>
        <w:t xml:space="preserve"> </w:t>
      </w:r>
      <w:r>
        <w:t>ԼՐԱՑՈՒՄՆԵՐ</w:t>
      </w:r>
      <w:r>
        <w:t xml:space="preserve"> </w:t>
      </w:r>
      <w:r>
        <w:t>ԵՎ</w:t>
      </w:r>
      <w:r>
        <w:t xml:space="preserve"> </w:t>
      </w:r>
      <w:r>
        <w:t>ՓՈՓՈԽՈՒԹՅՈՒՆՆԵՐ</w:t>
      </w:r>
      <w:r>
        <w:t xml:space="preserve"> </w:t>
      </w:r>
      <w:r>
        <w:t>ԿԱՏԱՐԵԼՈՒ</w:t>
      </w:r>
      <w:r>
        <w:t xml:space="preserve"> </w:t>
      </w:r>
      <w:r>
        <w:t>ՄԱՍԻՆ</w:t>
      </w:r>
      <w:r>
        <w:t xml:space="preserve">» </w:t>
      </w:r>
      <w:r>
        <w:t>ՍԱՀՄԱՆԱԴՐԱԿԱՆ</w:t>
      </w:r>
      <w:r>
        <w:t xml:space="preserve"> </w:t>
      </w:r>
      <w:r>
        <w:t>ՕՐԵՆՔԻ</w:t>
      </w:r>
      <w:r>
        <w:t xml:space="preserve"> </w:t>
      </w:r>
      <w:r>
        <w:t>ԵՎ</w:t>
      </w:r>
      <w:r>
        <w:t xml:space="preserve"> «</w:t>
      </w:r>
      <w:r>
        <w:t>ՊԵՏԱԿԱՆ</w:t>
      </w:r>
      <w:r>
        <w:t xml:space="preserve"> </w:t>
      </w:r>
      <w:r>
        <w:t>ՏՈՒՐՔԻ</w:t>
      </w:r>
      <w:r>
        <w:t xml:space="preserve"> </w:t>
      </w:r>
      <w:r>
        <w:t>ՄԱՍԻՆ</w:t>
      </w:r>
      <w:r>
        <w:t xml:space="preserve">» </w:t>
      </w:r>
      <w:r>
        <w:t>ՕՐԵՆՔՈՒՄ</w:t>
      </w:r>
      <w:r>
        <w:t xml:space="preserve"> </w:t>
      </w:r>
      <w:r>
        <w:t>ԼՐԱՑՈՒՄ</w:t>
      </w:r>
      <w:r>
        <w:t xml:space="preserve"> </w:t>
      </w:r>
      <w:r>
        <w:t>ԿԱՏԱՐԵԼՈՒ</w:t>
      </w:r>
      <w:r>
        <w:t xml:space="preserve"> </w:t>
      </w:r>
      <w:r>
        <w:t>ՄԱՍԻՆ</w:t>
      </w:r>
      <w:r>
        <w:t xml:space="preserve">» </w:t>
      </w:r>
      <w:r>
        <w:t>ՕՐԵՆՔԻ</w:t>
      </w:r>
      <w:r>
        <w:t xml:space="preserve"> </w:t>
      </w:r>
      <w:r>
        <w:t>ՆԱԽԱԳԾԵՐ</w:t>
      </w:r>
      <w:r>
        <w:rPr>
          <w:lang w:val="ru-RU"/>
        </w:rPr>
        <w:t>Ի</w:t>
      </w:r>
      <w:r>
        <w:t xml:space="preserve"> </w:t>
      </w:r>
      <w:r>
        <w:t>վերաբերյալ</w:t>
      </w:r>
      <w:bookmarkEnd w:id="1"/>
    </w:p>
    <w:p w:rsidR="00621A6A" w:rsidRDefault="00621A6A"/>
    <w:p w:rsidR="00621A6A" w:rsidRDefault="00621A6A"/>
    <w:p w:rsidR="00621A6A" w:rsidRDefault="00621A6A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64"/>
        <w:gridCol w:w="2186"/>
        <w:gridCol w:w="4864"/>
        <w:gridCol w:w="3542"/>
        <w:gridCol w:w="2871"/>
      </w:tblGrid>
      <w:tr w:rsidR="00621A6A" w:rsidTr="0002418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</w:p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621A6A" w:rsidTr="0002418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21A6A" w:rsidRDefault="00621A6A">
            <w:pPr>
              <w:jc w:val="center"/>
            </w:pP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621A6A" w:rsidTr="0002418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Արշակ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Գևորգյան</w:t>
            </w:r>
            <w:proofErr w:type="spellEnd"/>
          </w:p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12.07.2018 13:41:19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 w:rsidP="00024187">
            <w:pPr>
              <w:jc w:val="both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Հայաստանի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օրենսգիրք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լրացումներ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»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սահմանադրական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6-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տարատեսակ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մեկնաբանություններից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թյուրըմբռնումներից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երկիմաստություններից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խուսափելու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/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քանզի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պարզ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չէ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իրենից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ենթադրում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եզրույթը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հետևանքներ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առաջանալ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քննարկման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՛՛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արդյունքում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շարադրել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հետևյալ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կերպ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. «2.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մտնելուց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հետո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մեկամսյա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Բարձրագույն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խորհուրդ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մինչև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ուժի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մեջ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մտնելը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քվեարկված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սակայն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բավարար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թվով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ձայներ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չստացած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դատավորի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թեկնածուներին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հարցի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117-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կացնում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կրկնակի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քվեարկություն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:»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Ըն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  <w:tr w:rsidR="00621A6A" w:rsidTr="0002418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Ռուզաննա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Ազրոյան</w:t>
            </w:r>
            <w:proofErr w:type="spellEnd"/>
          </w:p>
          <w:p w:rsidR="00621A6A" w:rsidRDefault="002D0E78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03.07.2018 12:27:37</w:t>
            </w:r>
          </w:p>
        </w:tc>
        <w:tc>
          <w:tcPr>
            <w:tcW w:w="5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 w:rsidP="00024187">
            <w:pPr>
              <w:jc w:val="both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Օրենսգրքի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117-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1-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Բարձրագույն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խորհուրդը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նրա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անձնական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…: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հոդվածում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լրացնել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քանի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օրվա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ընթացքում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Բարձրագույն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խորհուրդը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պարտավորվում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տված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բացակայությունը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գործնականում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խնդիրներ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առաջացնել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նաև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արդեն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առաջացրել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տալիս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համաձայնությունը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ամիսներ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շարունակ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ԲԴԽ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հայեցողության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սպասել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ներկայացմանը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կարծում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որոշակիության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և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հիմնարար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սկզբունքների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խախտում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Օրենսգիրքը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անգամ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նախատեսում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պահից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եռօրյա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Հանրապետության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ընդունում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թեկնածուին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նշանակելու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հրամանագիր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առաջարկությունն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առարկություններով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վերադարձնում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Բարձրագույն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դատական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խորհուրդ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/117-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հո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դվածի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2-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րդ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մաս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/: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Ստացվում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երկրի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նախագահի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գործողություն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կատարելու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ժամկետ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իսկ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ԲԴԽ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-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ի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՝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ոչ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Ընդունվել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21A6A" w:rsidRDefault="002D0E78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Նախագծում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կատարվել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համապատասխան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:</w:t>
            </w:r>
          </w:p>
        </w:tc>
      </w:tr>
    </w:tbl>
    <w:p w:rsidR="00000000" w:rsidRDefault="002D0E78"/>
    <w:sectPr w:rsidR="00000000" w:rsidSect="00621A6A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A6A"/>
    <w:rsid w:val="00024187"/>
    <w:rsid w:val="002D0E78"/>
    <w:rsid w:val="0062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2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621A6A"/>
    <w:rPr>
      <w:vertAlign w:val="superscript"/>
    </w:rPr>
  </w:style>
  <w:style w:type="paragraph" w:customStyle="1" w:styleId="headingtitleStyle">
    <w:name w:val="heading titleStyle"/>
    <w:basedOn w:val="Normal"/>
    <w:rsid w:val="00621A6A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Manager/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2018-08-08T11:14:00Z</dcterms:created>
  <dcterms:modified xsi:type="dcterms:W3CDTF">2018-08-08T11:15:00Z</dcterms:modified>
  <cp:category/>
</cp:coreProperties>
</file>