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ՏԵՂԵԿԱՆՔ</w:t>
      </w:r>
    </w:p>
    <w:p w:rsidR="002F681A" w:rsidRP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en-US"/>
        </w:rPr>
      </w:pPr>
    </w:p>
    <w:p w:rsidR="002F681A" w:rsidRDefault="002F681A" w:rsidP="002F681A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ՀԱՅԱՍՏԱՆԻ ՀԱՆՐԱՊԵՏՈՒԹՅԱՆ ԿԱՌԱՎԱՐՈՒԹՅԱՆ 1998 ԹՎԱԿԱՆԻ ՓԵՏՐՎԱՐԻ 26-Ի № 116-Ն ՈՐՈՇՄԱՆ ՄԵՋ ՓՈՓՈԽՈՒԹՅՈՒՆՆԵՐ ԿԱՏԱՐԵԼՈՒ ՄԱՍԻՆ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«Հայաստանի Հանրապետության կառավարության 1998 թվականի փետրվարի 26-ի № 116-ն որոշման մեջ փոփոխություններ կատարելու մասին» ՀՀ կառավարության որոշման ընդունման </w:t>
      </w:r>
      <w:r>
        <w:rPr>
          <w:rFonts w:ascii="GHEA Grapalat" w:hAnsi="GHEA Grapalat"/>
          <w:color w:val="000000"/>
          <w:lang w:val="hy-AM"/>
        </w:rPr>
        <w:t xml:space="preserve">դեպքում պետական կամ տեղական ինքնակառավարման մարմնի բյուջեում ծախսերի և եկամուտների էական ավելացումների կամ նվազեցումների մասին տեղեկանքի լրացման անհրաժեշտությունը բացակայում է, քանի որ պետական կամ տեղական ինքնակառավարման մարմնի բյուջեում ծախսերի և եկամուտների էական </w:t>
      </w:r>
      <w:proofErr w:type="spellStart"/>
      <w:r>
        <w:rPr>
          <w:rFonts w:ascii="GHEA Grapalat" w:hAnsi="GHEA Grapalat"/>
          <w:color w:val="000000"/>
          <w:lang w:val="hy-AM"/>
        </w:rPr>
        <w:t>ավելացումներ</w:t>
      </w:r>
      <w:proofErr w:type="spellEnd"/>
      <w:r>
        <w:rPr>
          <w:rFonts w:ascii="GHEA Grapalat" w:hAnsi="GHEA Grapalat"/>
          <w:color w:val="000000"/>
          <w:lang w:val="hy-AM"/>
        </w:rPr>
        <w:t xml:space="preserve"> կամ նվազեցումներ չեն նախատեսվում:</w:t>
      </w:r>
    </w:p>
    <w:p w:rsidR="002F681A" w:rsidRDefault="002F681A" w:rsidP="002F681A">
      <w:pPr>
        <w:tabs>
          <w:tab w:val="left" w:pos="1080"/>
        </w:tabs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spacing w:line="276" w:lineRule="auto"/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ՏՆՏԵՍԱԿԱՆ ԶԱՐԳԱՑՄԱՆ ԵՎ                                          </w:t>
      </w: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ՆԵՐԴՐՈՒՄՆԵՐԻ ՆԱԽԱՐԱՐ </w:t>
      </w:r>
    </w:p>
    <w:p w:rsidR="002F681A" w:rsidRDefault="002F681A" w:rsidP="002F681A">
      <w:pPr>
        <w:tabs>
          <w:tab w:val="left" w:pos="1080"/>
        </w:tabs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ՍՈՒՐԵՆ ԿԱՐԱՅԱՆ</w:t>
      </w: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P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P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P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en-US"/>
        </w:rPr>
      </w:pP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lastRenderedPageBreak/>
        <w:t>ՏԵՂԵԿԱՆՔ</w:t>
      </w:r>
    </w:p>
    <w:p w:rsidR="002F681A" w:rsidRP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en-US"/>
        </w:rPr>
      </w:pPr>
      <w:bookmarkStart w:id="0" w:name="_GoBack"/>
      <w:bookmarkEnd w:id="0"/>
    </w:p>
    <w:p w:rsidR="002F681A" w:rsidRDefault="002F681A" w:rsidP="002F681A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ՀԱՅԱՍՏԱՆԻ ՀԱՆՐԱՊԵՏՈՒԹՅԱՆ ԿԱՌԱՎԱՐՈՒԹՅԱՆ 1998 ԹՎԱԿԱՆԻ ՓԵՏՐՎԱՐԻ 26-Ի № 116-Ն ՈՐՈՇՄԱՆ ՓՈՓՈԽՈՒԹՅՈՒՆՆԵՐ ԿԱՏԱՐԵԼՈՒ ՄԱՍԻՆ 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2F681A" w:rsidRDefault="002F681A" w:rsidP="002F681A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</w:t>
      </w:r>
    </w:p>
    <w:p w:rsidR="002F681A" w:rsidRDefault="002F681A" w:rsidP="002F681A">
      <w:pPr>
        <w:tabs>
          <w:tab w:val="left" w:pos="1080"/>
        </w:tabs>
        <w:spacing w:line="276" w:lineRule="auto"/>
        <w:ind w:left="720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Չկա:</w:t>
      </w:r>
    </w:p>
    <w:p w:rsidR="002F681A" w:rsidRDefault="002F681A" w:rsidP="002F681A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en-US"/>
        </w:rPr>
      </w:pPr>
    </w:p>
    <w:p w:rsidR="002F681A" w:rsidRDefault="002F681A" w:rsidP="002F681A">
      <w:pPr>
        <w:numPr>
          <w:ilvl w:val="0"/>
          <w:numId w:val="1"/>
        </w:numPr>
        <w:tabs>
          <w:tab w:val="left" w:pos="1080"/>
        </w:tabs>
        <w:spacing w:line="276" w:lineRule="auto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</w:t>
      </w:r>
    </w:p>
    <w:p w:rsidR="002F681A" w:rsidRDefault="002F681A" w:rsidP="002F681A">
      <w:pPr>
        <w:tabs>
          <w:tab w:val="left" w:pos="1080"/>
        </w:tabs>
        <w:spacing w:line="276" w:lineRule="auto"/>
        <w:ind w:left="720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Համապատասխանում է:</w:t>
      </w:r>
    </w:p>
    <w:p w:rsidR="002F681A" w:rsidRDefault="002F681A" w:rsidP="002F681A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en-US"/>
        </w:rPr>
      </w:pPr>
    </w:p>
    <w:p w:rsidR="002F681A" w:rsidRDefault="002F681A" w:rsidP="002F681A">
      <w:pPr>
        <w:numPr>
          <w:ilvl w:val="0"/>
          <w:numId w:val="1"/>
        </w:numPr>
        <w:tabs>
          <w:tab w:val="left" w:pos="1080"/>
        </w:tabs>
        <w:spacing w:after="200" w:line="276" w:lineRule="auto"/>
        <w:ind w:left="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Այլ տեղեկություններ </w:t>
      </w:r>
      <w:r>
        <w:rPr>
          <w:rFonts w:ascii="GHEA Grapalat" w:hAnsi="GHEA Grapalat" w:cs="Sylfaen"/>
          <w:bCs/>
          <w:lang w:val="hy-AM"/>
        </w:rPr>
        <w:t>(եթե այդպիսիք առկա են)</w:t>
      </w:r>
    </w:p>
    <w:p w:rsidR="002F681A" w:rsidRDefault="002F681A" w:rsidP="002F681A">
      <w:pPr>
        <w:tabs>
          <w:tab w:val="left" w:pos="1080"/>
        </w:tabs>
        <w:spacing w:line="276" w:lineRule="auto"/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Չկան:</w:t>
      </w:r>
    </w:p>
    <w:p w:rsidR="002F681A" w:rsidRDefault="002F681A" w:rsidP="002F681A">
      <w:pPr>
        <w:tabs>
          <w:tab w:val="left" w:pos="1080"/>
        </w:tabs>
        <w:spacing w:line="276" w:lineRule="auto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ՏՆՏԵՍԱԿԱՆ ԶԱՐԳԱՑՄԱՆ ԵՎ                                          </w:t>
      </w:r>
    </w:p>
    <w:p w:rsidR="002F681A" w:rsidRDefault="002F681A" w:rsidP="002F681A">
      <w:pPr>
        <w:tabs>
          <w:tab w:val="left" w:pos="1080"/>
        </w:tabs>
        <w:ind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ՆԵՐԴՐՈՒՄՆԵՐԻ ՆԱԽԱՐԱՐ </w:t>
      </w:r>
    </w:p>
    <w:p w:rsidR="002F681A" w:rsidRDefault="002F681A" w:rsidP="002F681A">
      <w:pPr>
        <w:tabs>
          <w:tab w:val="left" w:pos="1080"/>
        </w:tabs>
        <w:ind w:firstLine="720"/>
        <w:jc w:val="center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  ՍՈՒՐԵՆ ԿԱՐԱՅԱՆ</w:t>
      </w:r>
    </w:p>
    <w:p w:rsidR="002F681A" w:rsidRDefault="002F681A" w:rsidP="002F681A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  <w:lang w:val="hy-AM"/>
        </w:rPr>
      </w:pPr>
    </w:p>
    <w:p w:rsidR="002F681A" w:rsidRDefault="002F681A" w:rsidP="002F681A">
      <w:pPr>
        <w:shd w:val="clear" w:color="auto" w:fill="FFFFFF"/>
        <w:ind w:firstLine="375"/>
        <w:jc w:val="both"/>
        <w:rPr>
          <w:rFonts w:ascii="GHEA Grapalat" w:hAnsi="GHEA Grapalat" w:cs="Sylfaen"/>
          <w:color w:val="000000"/>
          <w:lang w:val="en-US"/>
        </w:rPr>
      </w:pPr>
    </w:p>
    <w:p w:rsidR="002F681A" w:rsidRDefault="002F681A" w:rsidP="002F681A"/>
    <w:p w:rsidR="00507D7A" w:rsidRDefault="00507D7A"/>
    <w:sectPr w:rsidR="00507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00468"/>
    <w:multiLevelType w:val="hybridMultilevel"/>
    <w:tmpl w:val="025A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B0"/>
    <w:rsid w:val="00263CB0"/>
    <w:rsid w:val="002F681A"/>
    <w:rsid w:val="0050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Zakaryan</dc:creator>
  <cp:keywords/>
  <dc:description/>
  <cp:lastModifiedBy>Zhanna Zakaryan</cp:lastModifiedBy>
  <cp:revision>2</cp:revision>
  <dcterms:created xsi:type="dcterms:W3CDTF">2017-11-08T13:03:00Z</dcterms:created>
  <dcterms:modified xsi:type="dcterms:W3CDTF">2017-11-08T13:03:00Z</dcterms:modified>
</cp:coreProperties>
</file>