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ՍԵՎԱՆԱ ԼՃԻ ՋՐՀԱՎԱՔ ԱՎԱԶԱՆԻ ԱՌԱՓՆՅԱ ՀԱՏՎԱԾՆԵՐԻ ՔԱՂԱՔԱՇԻՆԱԿԱՆ ԳՈՏԵՎՈՐՄԱՆ ՆԱԽԱԳԾԻ ՄՇԱԿՄԱՆ ՏԵԽՆԻԿԱԿԱՆ ԱՌԱՋԱԴՐԱՆՔԸ ՀԱՍՏԱՏԵԼՈՒ ՄԱՍԻՆ</w:t>
      </w:r>
      <w:bookmarkEnd w:id="0"/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2"/>
          <w:szCs w:val="22"/>
          <w:b w:val="1"/>
          <w:bCs w:val="1"/>
        </w:rPr>
        <w:t xml:space="preserve">«ՀԱՅԱՍՏԱՆԻ ՀԱՆՐԱՊԵՏՈՒԹՅԱՆ ՍևԱՆԱ ԼՃԻ ՋՐՀԱՎԱՔ ԱՎԱԶԱՆԻ ԱՌԱՓՆՅԱ ՀԱՏՎԱԾՆԵՐԻ ՔԱՂԱՔԱՇԻՆԱԿԱՆ ԳՈՏԵՎՈՐՄԱՆ ՆԱԽԱԳԾԻ ՄՇԱԿՄԱՆ ՏԵԽՆԻԿԱԿԱՆ ԱՌԱՋԱԴՐԱՆՔԸ ՀԱՍՏԱՏԵԼՈՒ ՄԱՍԻՆ»</w:t>
      </w:r>
      <w:r>
        <w:rPr>
          <w:rFonts w:ascii="'Calibri'" w:hAnsi="'Calibri'" w:eastAsia="'Calibri'" w:cs="'Calibri'"/>
          <w:lang w:val="hy-HY"/>
          <w:sz w:val="22"/>
          <w:szCs w:val="22"/>
          <w:b w:val="1"/>
          <w:bCs w:val="1"/>
        </w:rPr>
        <w:t xml:space="preserve"> </w:t>
      </w:r>
    </w:p>
    <w:p>
      <w:pPr/>
      <w:r>
        <w:rPr>
          <w:lang w:val="hy-HY"/>
          <w:sz w:val="22"/>
          <w:szCs w:val="22"/>
        </w:rPr>
        <w:t xml:space="preserve">Ղեկավարվելով «Տեղական ինքնակառավարման մասին» ՀՀ օրենքի 18-րդ հոդվածի 1-ին մասի 29-րդ կետով, Հայաստանի Հանրապետության կառավարության ՀՀ Կառավարության 2011 թվականի դեկտեմբերի 29-ի N 1920-Ն որոշմամբ հաստատված կարգի 6-րդ կետով, հիմք ընդունելով ՀՀ վարչապետի 2009 թվականի դեկտեմբերի 22-ի N 1064-Ա որոշմամբ ստեղծված Հայաստանի Հանրապետության համայնքների /բնակավայրերի/ քաղաքաշինական ծրագրային փաստաթղթերի մշակման աշխատանքները համակարգող միջգերատեսչական հանձնաժողովի 29.09.2025թ. N 1 եզրակացությունը՝ </w:t>
      </w:r>
      <w:r>
        <w:rPr>
          <w:rFonts w:ascii="'GHEA Grapalat'" w:hAnsi="'GHEA Grapalat'" w:eastAsia="'GHEA Grapalat'" w:cs="'GHEA Grapalat'"/>
          <w:lang w:val="hy-HY"/>
          <w:sz w:val="22"/>
          <w:szCs w:val="22"/>
          <w:b w:val="1"/>
          <w:bCs w:val="1"/>
        </w:rPr>
        <w:t xml:space="preserve">Գավառ համայնքի ավագանին որոշում է</w:t>
      </w:r>
      <w:r>
        <w:rPr>
          <w:rFonts w:ascii="'MS Mincho'" w:hAnsi="'MS Mincho'" w:eastAsia="'MS Mincho'" w:cs="'MS Mincho'"/>
          <w:sz w:val="22"/>
          <w:szCs w:val="22"/>
          <w:b w:val="1"/>
          <w:bCs w:val="1"/>
        </w:rPr>
        <w:t xml:space="preserve">․</w:t>
      </w:r>
    </w:p>
    <w:p>
      <w:pPr/>
      <w:r>
        <w:rPr>
          <w:lang w:val="hy-HY"/>
          <w:sz w:val="22"/>
          <w:szCs w:val="22"/>
        </w:rPr>
        <w:t xml:space="preserve">1</w:t>
      </w:r>
      <w:r>
        <w:rPr>
          <w:rFonts w:ascii="'MS Mincho'" w:hAnsi="'MS Mincho'" w:eastAsia="'MS Mincho'" w:cs="'MS Mincho'"/>
          <w:sz w:val="22"/>
          <w:szCs w:val="22"/>
        </w:rPr>
        <w:t xml:space="preserve">․</w:t>
      </w:r>
      <w:r>
        <w:rPr>
          <w:lang w:val="hy-HY"/>
          <w:sz w:val="22"/>
          <w:szCs w:val="22"/>
        </w:rPr>
        <w:t xml:space="preserve">Հաստատել Հայաստանի Հանրապետության Սևանա լճի ջրհավաք ավազանի առափնյա հատվածների քաղաքաշինական գոտևորման նախագծի մշակման տեխնիկական առաջադրանքը՝ համաձայն հավելվածերի։ </w:t>
      </w:r>
      <w:br/>
      <w:r>
        <w:rPr>
          <w:rFonts w:ascii="'Calibri'" w:hAnsi="'Calibri'" w:eastAsia="'Calibri'" w:cs="'Calibri'"/>
          <w:lang w:val="hy-HY"/>
          <w:sz w:val="22"/>
          <w:szCs w:val="22"/>
        </w:rPr>
        <w:t xml:space="preserve">2</w:t>
      </w:r>
      <w:r>
        <w:rPr>
          <w:rFonts w:ascii="'MS Mincho'" w:hAnsi="'MS Mincho'" w:eastAsia="'MS Mincho'" w:cs="'MS Mincho'"/>
          <w:sz w:val="22"/>
          <w:szCs w:val="22"/>
        </w:rPr>
        <w:t xml:space="preserve">․</w:t>
      </w:r>
      <w:r>
        <w:rPr>
          <w:lang w:val="hy-HY"/>
          <w:sz w:val="22"/>
          <w:szCs w:val="22"/>
        </w:rPr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2026-04-03T11:55:05+04:00</dcterms:created>
  <dcterms:modified xsi:type="dcterms:W3CDTF">2026-04-03T11:55:05+04:00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