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 ցեմենտի ներմուծման ժամանակավոր սահմանափակում կիրառելու, ներմուծման լիցենզավորման ընթացակարգը և հիմնական լիցենզիայի ձևը սահմանելու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  ___________ 2025 թվականի N ____-Ն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 ՑԵՄԵՆՏԻ ՆԵՐՄՈՒԾՄԱՆ ԺԱՄԱՆԱԿԱՎՈՐ ՍԱՀՄԱՆԱՓԱԿՈՒՄ ԿԻՐԱՌԵԼՈՒ, ՆԵՐՄՈՒԾՄԱՆ ԼԻՑԵՆԶԱՎՈՐՄԱՆ </w:t>
      </w:r>
      <w:r>
        <w:rPr>
          <w:b w:val="1"/>
          <w:bCs w:val="1"/>
        </w:rPr>
        <w:t xml:space="preserve">ԿԱՐԳՆ ՈՒ ՊԱՅՄԱՆՆԵՐԸ</w:t>
      </w:r>
      <w:r>
        <w:rPr>
          <w:b w:val="1"/>
          <w:bCs w:val="1"/>
        </w:rPr>
        <w:t xml:space="preserve"> ԵՎ ՀԻՄՆԱԿԱՆ ԼԻՑԵՆԶԻԱՅԻ ՁԵՎԸ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«Առևտրի և ծառայությունների մասին» օրենքի 2.1-ին հոդվածը և համաձայն «Եվրասիական տնտեսական միության մասին» պայմանագրի 47-րդ հոդվածի`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1) ԵԱՏՄ ԱՏԳ ԱԱ 2523 (բացառությամբ ԱՏԳ ԱԱ 2523100000, 2523210000) ապրանքային դիրքի ծածկագրերին դասվող ապրանքների «Բացթողում՝ ներքին սպառման համար», «Վերամշակում՝ մաքսային տարածքում» և «Վերամշակում՝ ներքին սպառման համար» մաքսային ընթացակարգերով ներմուծումն իրականացվում է հիմնական լիցենզիաների հիման վրա.</w:t>
      </w:r>
    </w:p>
    <w:p>
      <w:pPr/>
      <w:r>
        <w:rPr/>
        <w:t xml:space="preserve">2) սույն կետի 1-ին ենթակետում նշված ապրանքների ներմուծման նպատակով հիմնական լիցենզիան տրամադրվում է յուրաքանչյուր մինչև հարյուր տոննայի համար,</w:t>
      </w:r>
    </w:p>
    <w:p>
      <w:pPr>
        <w:numPr>
          <w:ilvl w:val="0"/>
          <w:numId w:val="3"/>
        </w:numPr>
      </w:pPr>
      <w:r>
        <w:rPr/>
        <w:t xml:space="preserve">Հիմնական լիցենզիաների տրամադրման համար լիազոր մարմին սահմանել Հայաստանի Հանրապետության էկոնոմիկայի նախարարությունը:</w:t>
      </w:r>
    </w:p>
    <w:p>
      <w:pPr>
        <w:numPr>
          <w:ilvl w:val="0"/>
          <w:numId w:val="3"/>
        </w:numPr>
      </w:pPr>
      <w:r>
        <w:rPr/>
        <w:t xml:space="preserve">Սահմանել՝</w:t>
      </w:r>
    </w:p>
    <w:p>
      <w:pPr/>
      <w:r>
        <w:rPr/>
        <w:t xml:space="preserve">1) ԵԱՏՄ ԱՏԳ ԱԱ 2523 (բացառությամբ ԱՏԳ ԱԱ 2523100000, 2523210000) ապրանքային դիրքի ծածկագրերին դասվող ապրանքների «Բացթողում՝ ներքին սպառման համար», «Վերամշակում՝ մաքսային տարածքում» և «Վերամշակում՝ ներքին սպառման համար» մաքսային ընթացակարգերով ներմուծման լիցենզավորման կարգն ու պայմանները՝ համաձայն N 1 հավելվածի.</w:t>
      </w:r>
    </w:p>
    <w:p>
      <w:pPr/>
      <w:r>
        <w:rPr/>
        <w:t xml:space="preserve">2) ԵԱՏՄ ԱՏԳ ԱԱ 2523 (բացառությամբ 2523100000, 2523210000) ապրանքային դիրքի ծածկագրին դասվող ապրանքների «Բացթողում՝ ներքին սպառման համար», «Վերամշակում՝ մաքսային տարածքում» և «Վերամշակում՝ ներքին սպառման համար» մաքսային ընթացակարգերով ներմուծման հիմնական լիցենզիայի ձևը` համաձայն N 2 հավելվածի։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էկոնոմիկայի նախարարությանը` սույն որոշումն ուժի մեջ մտնելուց հետո ոչ ուշ, քան 3-օրյա ժամկետում ծանուցել Եվրասիական տնտեսական հանձնաժողովին սույն որոշման 1-ին կետով սահմանված ապրանքների ներմուծման ժամանակավոր սահմանափակման մասին։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2026 թվականի հունվարի 22-ից և գործում է մինչև 2026 թվականի հուլիսի 22-ը։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76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CD06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61FB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2026-04-03T08:14:37+04:00</dcterms:created>
  <dcterms:modified xsi:type="dcterms:W3CDTF">2026-04-03T08:14:37+04:00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