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մասին» Հայաստանի Հանրապետության օրենքում փոփոխություններ և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«ԼԻՑԵՆԶԱՎՈՐՄԱՆ ՄԱՍԻՆ» ՀԱՅԱՍՏԱՆԻ ՀԱՆՐԱՊԵՏՈՒԹՅԱՆ ՕՐԵՆՔՈՒՄ ՓՈՓՈԽՈՒԹՅՈՒՆՆԵՐ ԵՎ ԼՐԱՑՈՒՄ ԿԱՏԱՐԵԼՈՒ ՄԱՍԻՆ </w:t>
      </w:r>
      <w:r>
        <w:rPr>
          <w:b w:val="1"/>
          <w:bCs w:val="1"/>
        </w:rPr>
        <w:t xml:space="preserve">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«Լիցենզավորման մասին» Հայաստանի Հանրապետության 2001 թվականի մայիսի 30-ի ՀՕ-193 օրենքի /այսուհետ` Օրենք/ 23.1-րդ հոդվածի 2-րդ մասում «համար սույն հոդվածի 1-ին մասով սահմանված առավելագույն ժամկետը:» բառերը փոխարինել «վերաբերյալ պատշաճ ձևով տեղեկացման համար սույն հոդվածի 1-ին մասով սահմանված ժամկետին հաջորդող հինգ աշխատանքային օրվա ընթացքում:»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23.1-րդ հոդվածի 4-րդ մասում՝</w:t>
      </w:r>
    </w:p>
    <w:p>
      <w:pPr/>
      <w:r>
        <w:rPr/>
        <w:t xml:space="preserve">1) «չեղյալ» բառը փոխարինել «ուժը կորցրած» բառով,</w:t>
      </w:r>
    </w:p>
    <w:p>
      <w:pPr/>
      <w:r>
        <w:rPr/>
        <w:t xml:space="preserve">2)  երկրորդ նախադասությունից հետո լրացնել նոր նախադասություն.</w:t>
      </w:r>
    </w:p>
    <w:p>
      <w:pPr/>
      <w:r>
        <w:rPr/>
        <w:t xml:space="preserve">«Հայտը մերժվում և լիցենզավորող մարմնի որոշումը ուժը կորցրած է համարվում պետական տուրքը վճարելու համար սույն օրենքով սահմանված ժամկետին հաջորդող աշխատանքային օրը:»: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2026-04-03T00:00:10+04:00</dcterms:created>
  <dcterms:modified xsi:type="dcterms:W3CDTF">2026-04-03T00:00:10+04:00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