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ՀՈԿՏԵՄԲԵՐԻ 29-Ի N 1266-Ն ՈՐՈՇՄԱՆ ՄԵՋ ՓՈՓՈԽՈՒԹՅՈՒՆՆԵՐ  ԿԱՏԱՐԵԼՈՒ ՄԱՍԻՆ</w:t>
      </w:r>
      <w:bookmarkEnd w:id="0"/>
    </w:p>
    <w:p>
      <w:pPr/>
      <w:r>
        <w:rPr/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/>
        <w:t xml:space="preserve"> </w:t>
      </w:r>
    </w:p>
    <w:p>
      <w:pPr/>
      <w:r>
        <w:rPr/>
        <w:t xml:space="preserve">____________________2025 թվականի   N   - 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</w:t>
      </w:r>
      <w:r>
        <w:rPr>
          <w:b w:val="1"/>
          <w:bCs w:val="1"/>
        </w:rPr>
        <w:t xml:space="preserve">2015 ԹՎԱԿԱՆԻ ՀՈԿՏԵՄԲԵՐԻ 29-Ի N 1266-</w:t>
      </w:r>
      <w:r>
        <w:rPr>
          <w:b w:val="1"/>
          <w:bCs w:val="1"/>
        </w:rPr>
        <w:t xml:space="preserve">Ն </w:t>
      </w:r>
      <w:r>
        <w:rPr>
          <w:b w:val="1"/>
          <w:bCs w:val="1"/>
        </w:rPr>
        <w:t xml:space="preserve">ՈՐՈՇՄԱՆ ՄԵՋ </w:t>
      </w:r>
      <w:r>
        <w:rPr>
          <w:b w:val="1"/>
          <w:bCs w:val="1"/>
        </w:rPr>
        <w:t xml:space="preserve">ՓՈՓՈԽՈՒԹՅՈՒՆՆԵՐ</w:t>
      </w:r>
    </w:p>
    <w:p>
      <w:pPr/>
      <w:r>
        <w:rPr>
          <w:b w:val="1"/>
          <w:bCs w:val="1"/>
        </w:rPr>
        <w:t xml:space="preserve"> 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Հիմք ընդունելով «Նորմատիվ իրավական ակտերի մասին» օրենքի 33-րդ և 34-րդ հոդվածները՝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հոկտեմբերի 29-ի «Այն երկրների ցանկը հաստատելու մասին, որոնց թունաբանահիգիենիկ գնահատման փորձարկման արդյունքներն ընդունելի են Հայաստանի Հանրապետությունում պեստիցիդների և ագրոքիմիկատների գրանցման համար» N 1266-Ն որոշման (այսուհետ՝ Որոշում) մեջ կատարել հետևյալ փոփոխությունները՝</w:t>
      </w:r>
    </w:p>
    <w:p>
      <w:pPr/>
      <w:r>
        <w:rPr/>
        <w:t xml:space="preserve">1) Որոշման նախաբանում «3-րդ մասին» բառերը փոխարինել «4-րդ մասին» բառերով,</w:t>
      </w:r>
    </w:p>
    <w:p>
      <w:pPr/>
      <w:r>
        <w:rPr/>
        <w:t xml:space="preserve">2) Որոշման հավելվածը շարադրել նոր խմբագրությամբ՝ համաձայն հավելվածի։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 </w:t>
      </w:r>
      <w:br/>
      <w:r>
        <w:rPr>
          <w:b w:val="1"/>
          <w:bCs w:val="1"/>
        </w:rPr>
        <w:t xml:space="preserve"> </w:t>
      </w:r>
      <w:r>
        <w:rPr/>
        <w:t xml:space="preserve">ՀՀ կառավարության 2025 թվականի</w:t>
      </w:r>
      <w:br/>
      <w:r>
        <w:rPr>
          <w:b w:val="1"/>
          <w:bCs w:val="1"/>
        </w:rPr>
        <w:t xml:space="preserve"> </w:t>
      </w:r>
      <w:r>
        <w:rPr/>
        <w:t xml:space="preserve">———— -ի         N — -Ն որոշման</w:t>
      </w:r>
    </w:p>
    <w:p>
      <w:pPr/>
      <w:r>
        <w:rPr/>
        <w:t xml:space="preserve"> </w:t>
      </w:r>
    </w:p>
    <w:p>
      <w:pPr/>
      <w:r>
        <w:rPr/>
        <w:t xml:space="preserve">«Հավելված </w:t>
      </w:r>
      <w:br/>
      <w:r>
        <w:rPr>
          <w:b w:val="1"/>
          <w:bCs w:val="1"/>
        </w:rPr>
        <w:t xml:space="preserve"> </w:t>
      </w:r>
      <w:r>
        <w:rPr/>
        <w:t xml:space="preserve">ՀՀ կառավարության 2015 թվականի</w:t>
      </w:r>
      <w:br/>
      <w:r>
        <w:rPr>
          <w:b w:val="1"/>
          <w:bCs w:val="1"/>
        </w:rPr>
        <w:t xml:space="preserve"> </w:t>
      </w:r>
      <w:r>
        <w:rPr/>
        <w:t xml:space="preserve">հոկտեմբերի 29-ի N 1266-Ն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Ց Ա Ն Կ</w:t>
      </w:r>
    </w:p>
    <w:p>
      <w:pPr/>
      <w:r>
        <w:rPr>
          <w:b w:val="1"/>
          <w:bCs w:val="1"/>
        </w:rPr>
        <w:t xml:space="preserve">ԱՅՆ ԵՐԿՐՆԵՐԻ, ՈՐՈՆՑ ԹՈՒՆԱԲԱՆԱՀԻԳԻԵՆԻԿ ԳՆԱՀԱՏՄԱՆ ՓՈՐՁԱՐԿՄԱՆ ԱՐԴՅՈՒՆՔՆԵՐՆ ԸՆԴՈՒՆԵԼԻ ԵՆ ՀԱՅԱՍՏԱՆԻ ՀԱՆՐԱՊԵՏՈՒԹՅՈՒՆՈՒՄ ՊԵՍՏԻՑԻԴՆԵՐԻ ԵՎ ԱԳՐՈՔԻՄԻԿԱՏՆԵՐԻ ԳՐԱՆՑՄԱՆ ՀԱՄԱՐ</w:t>
      </w:r>
    </w:p>
    <w:p>
      <w:pPr/>
      <w:r>
        <w:rPr/>
        <w:t xml:space="preserve"> </w:t>
      </w:r>
    </w:p>
    <w:tbl>
      <w:tblGrid>
        <w:gridCol w:w="900" w:type="dxa"/>
        <w:gridCol w:w="7470" w:type="dxa"/>
      </w:tblGrid>
      <w:tblPr>
        <w:tblW w:w="0" w:type="auto"/>
        <w:tblLayout w:type="autofit"/>
      </w:tblPr>
      <w:tr>
        <w:trPr/>
        <w:tc>
          <w:tcPr>
            <w:tcW w:w="900" w:type="dxa"/>
            <w:noWrap/>
          </w:tcPr>
          <w:p>
            <w:pPr/>
            <w:r>
              <w:rPr>
                <w:b w:val="1"/>
                <w:bCs w:val="1"/>
              </w:rPr>
              <w:t xml:space="preserve">հ/հ</w:t>
            </w:r>
          </w:p>
        </w:tc>
        <w:tc>
          <w:tcPr>
            <w:tcW w:w="7470" w:type="dxa"/>
            <w:noWrap/>
          </w:tcPr>
          <w:p>
            <w:pPr/>
            <w:r>
              <w:rPr>
                <w:b w:val="1"/>
                <w:bCs w:val="1"/>
              </w:rPr>
              <w:t xml:space="preserve">Երկրների անվանումները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1․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Ամերիկայի Միացյալ Նահանգներ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2․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Ավստրիայի Հանրապետություն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3․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Բելգիայի Թագավորություն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4․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Բուլղարիայի Հանրապետություն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5․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Գերմանիայի Դաշնային Հանրապետություն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6․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Դանիայի Թագավորություն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7․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Էստոնիայի Հանրապետություն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8.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Իռլանդիայի Հանրապետություն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9․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Իսլանդիայի Հանրապետություն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10․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Իսպանիայի Թագավորություն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11․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Իտալիայի Հանրապետություն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12․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Լատվիայի Հանրապետություն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13․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Լեհաստանի Հանրապետություն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14․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Լիտվայի Հանրապետություն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15․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Լյուքսեմբուրգի Մեծ Դքսություն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16․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Խորվաթիայի Հանրապետություն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17․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Կանադա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18․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Կիպրոսի Հանրապետություն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19․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Հարավային Կորեա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20․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Հունաստանի Հանրապետություն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21․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Հունգարիայի Հանրապետություն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22․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Ճապոնիա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23․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Մալթայի Հանրապետություն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24․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Մեծ Բրիտանիայի և Հյուսիսային Իռլանդիայի Միացյալ Թագավորություն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25․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Նիդերլանդների Թագավորություն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26․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Նորվեգիայի Թագավորություն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27․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Շվեդիայի Թագավորություն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28․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Շվեյցարական Համադաշնություն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29․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Չեխիայի Հանրապետություն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30․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Պորտուգալիայի Հանրապետություն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31․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Ռումինիա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32․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Ռուսաստանի Դաշնություն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33․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Սլովակիայի Հանրապետություն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34․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Սլովենիայի Հանրապետություն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35․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Վրաստանի Հանրապետություն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36․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Ֆինլանդիայի Հանրապետություն</w:t>
            </w:r>
          </w:p>
        </w:tc>
      </w:tr>
      <w:tr>
        <w:trPr/>
        <w:tc>
          <w:tcPr>
            <w:tcW w:w="900" w:type="dxa"/>
            <w:noWrap/>
          </w:tcPr>
          <w:p>
            <w:pPr/>
            <w:r>
              <w:rPr/>
              <w:t xml:space="preserve">37․</w:t>
            </w:r>
          </w:p>
        </w:tc>
        <w:tc>
          <w:tcPr>
            <w:tcW w:w="7470" w:type="dxa"/>
            <w:noWrap/>
          </w:tcPr>
          <w:p>
            <w:pPr/>
            <w:r>
              <w:rPr/>
              <w:t xml:space="preserve">Ֆրանսիայի Հանրապետություն</w:t>
            </w:r>
          </w:p>
        </w:tc>
      </w:tr>
    </w:tbl>
    <w:p>
      <w:pPr/>
      <w:r>
        <w:rPr/>
        <w:t xml:space="preserve">                                                              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BF8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C3268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2026-04-05T19:08:28+04:00</dcterms:created>
  <dcterms:modified xsi:type="dcterms:W3CDTF">2026-04-05T19:08:28+04:00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