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բարձր տեխնոլոգիական արդյունաբերության նախարարի «Հայաստանի Հանրապետության տրանսպորտի և կապի նախարարի 2008 թվականի փետրվարի 28-ի թիվ 71-Ն հրամանում փոփոխություններ կատարելու մասին» հրամանի նախագիծ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 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N -----------Ն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ՏՐԱՆՍՊՈՐՏԻ ԵՎ ԿԱՊԻ ՆԱԽԱՐԱՐԻ  2008 ԹՎԱԿԱՆԻ ՓԵՏՐՎԱՐԻ 28-Ի ԹԻՎ 71-Ն ՀՐԱՄԱՆՈՒՄ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«Նորմատիվ իրավական ակտերի մասին» օրենքի 33-րդ և 34-րդ հոդվածների պահանջներով․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 ՀՐԱՄԱՅՈՒՄ ԵՄ`</w:t>
      </w:r>
    </w:p>
    <w:p>
      <w:pPr/>
      <w:r>
        <w:rPr/>
        <w:t xml:space="preserve">          1.  Հայաստանի Հանրապետության տրանսպորտի և կապի նախարարի 2008 թվականի փետրվարի 28-ի «Հայաստանի Հանրապետության հաճախականությունների բաշխումների աղյուսակը հաստատելու մասին» թիվ 71-Ն հրամանի հավելվածով հաստատված Հայաստանի Հանրապետության հաճախականությունների բաշխումների աղյուսակում /այսուհետ՝ Աղյուսակ/ կատարել հետևյալ փոփոխությունները.   </w:t>
      </w:r>
    </w:p>
    <w:p>
      <w:pPr/>
      <w:r>
        <w:rPr/>
        <w:t xml:space="preserve">       1)Աղյուսակի 3-րդ բաժնի 6-րդ կետի 3-րդ ենթակետը շարադրել հետևյալ խմբագրությամբ.   </w:t>
      </w:r>
    </w:p>
    <w:p>
      <w:pPr/>
      <w:r>
        <w:rPr/>
        <w:t xml:space="preserve">       «3) Մինչև 2026 թվականը քաղաքացիական նշանակության ՌԷՄ-ների շահագործման համար նախատեսված ներքո նշված հաճախականության շերտը/երը կարող են օգտագործվել Կառավարական նշանակության ՌԷՄ-ների կողմից` համաձայնեցնելով Հայաստանի Հանրապետությունում ռադիոհաճախականությունների կառավարման համակարգող հանձնաժողովի հետ.</w:t>
      </w:r>
    </w:p>
    <w:tbl>
      <w:tblGrid>
        <w:gridCol w:w="2550" w:type="dxa"/>
        <w:gridCol w:w="3810" w:type="dxa"/>
        <w:gridCol w:w="3630" w:type="dxa"/>
      </w:tblGrid>
      <w:tblPr>
        <w:tblW w:w="0" w:type="auto"/>
        <w:tblLayout w:type="autofit"/>
      </w:tblPr>
      <w:tr>
        <w:trPr/>
        <w:tc>
          <w:tcPr>
            <w:tcW w:w="2550" w:type="dxa"/>
            <w:noWrap/>
          </w:tcPr>
          <w:p>
            <w:pPr/>
            <w:r>
              <w:rPr/>
              <w:t xml:space="preserve">30-108 ՄՀց</w:t>
            </w:r>
          </w:p>
          <w:p>
            <w:pPr/>
            <w:r>
              <w:rPr/>
              <w:t xml:space="preserve">150,450 ՄՀց</w:t>
            </w:r>
          </w:p>
          <w:p>
            <w:pPr/>
            <w:r>
              <w:rPr/>
              <w:t xml:space="preserve">150,825 ՄՀց</w:t>
            </w:r>
          </w:p>
          <w:p>
            <w:pPr/>
            <w:r>
              <w:rPr/>
              <w:t xml:space="preserve">150,950 ՄՀց</w:t>
            </w:r>
          </w:p>
          <w:p>
            <w:pPr/>
            <w:r>
              <w:rPr/>
              <w:t xml:space="preserve">151,525 ՄՀց</w:t>
            </w:r>
          </w:p>
          <w:p>
            <w:pPr/>
            <w:r>
              <w:rPr/>
              <w:t xml:space="preserve">152.100 ՄՀց</w:t>
            </w:r>
          </w:p>
          <w:p>
            <w:pPr/>
            <w:r>
              <w:rPr/>
              <w:t xml:space="preserve">152,175 ՄՀց</w:t>
            </w:r>
          </w:p>
          <w:p>
            <w:pPr/>
            <w:r>
              <w:rPr/>
              <w:t xml:space="preserve">152,350 ՄՀց</w:t>
            </w:r>
          </w:p>
          <w:p>
            <w:pPr/>
            <w:r>
              <w:rPr/>
              <w:t xml:space="preserve">152,475 ՄՀց</w:t>
            </w:r>
          </w:p>
          <w:p>
            <w:pPr/>
            <w:r>
              <w:rPr/>
              <w:t xml:space="preserve">152,625 ՄՀց</w:t>
            </w:r>
          </w:p>
          <w:p>
            <w:pPr/>
            <w:r>
              <w:rPr/>
              <w:t xml:space="preserve">153,150 ՄՀց</w:t>
            </w:r>
          </w:p>
          <w:p>
            <w:pPr/>
            <w:r>
              <w:rPr/>
              <w:t xml:space="preserve">153,525 ՄՀց</w:t>
            </w:r>
          </w:p>
          <w:p>
            <w:pPr/>
            <w:r>
              <w:rPr/>
              <w:t xml:space="preserve">155,025 ՄՀց</w:t>
            </w:r>
          </w:p>
          <w:p>
            <w:pPr/>
            <w:r>
              <w:rPr/>
              <w:t xml:space="preserve">155,450ՄՀց</w:t>
            </w:r>
          </w:p>
          <w:p>
            <w:pPr/>
            <w:r>
              <w:rPr/>
              <w:t xml:space="preserve">155,775 ՄՀց</w:t>
            </w:r>
          </w:p>
          <w:p>
            <w:pPr/>
            <w:r>
              <w:rPr/>
              <w:t xml:space="preserve">155,825 ՄՀց</w:t>
            </w:r>
          </w:p>
          <w:p>
            <w:pPr/>
            <w:r>
              <w:rPr/>
              <w:t xml:space="preserve">155,950ՄՀց</w:t>
            </w:r>
          </w:p>
          <w:p>
            <w:pPr/>
            <w:r>
              <w:rPr/>
              <w:t xml:space="preserve">156,200 ՄՀց</w:t>
            </w:r>
          </w:p>
          <w:p>
            <w:pPr/>
            <w:r>
              <w:rPr/>
              <w:t xml:space="preserve">156,525 ՄՀց</w:t>
            </w:r>
          </w:p>
          <w:p>
            <w:pPr/>
            <w:r>
              <w:rPr/>
              <w:t xml:space="preserve">156,725 ՄՀց</w:t>
            </w:r>
          </w:p>
          <w:p>
            <w:pPr/>
            <w:r>
              <w:rPr/>
              <w:t xml:space="preserve">157,100 ՄՀց</w:t>
            </w:r>
          </w:p>
          <w:p>
            <w:pPr/>
            <w:r>
              <w:rPr/>
              <w:t xml:space="preserve">157,175 ՄՀց</w:t>
            </w:r>
          </w:p>
          <w:p>
            <w:pPr/>
            <w:r>
              <w:rPr/>
              <w:t xml:space="preserve">157,350 ՄՀց</w:t>
            </w:r>
          </w:p>
          <w:p>
            <w:pPr/>
            <w:r>
              <w:rPr/>
              <w:t xml:space="preserve">157,475 ՄՀց</w:t>
            </w:r>
          </w:p>
          <w:p>
            <w:pPr/>
            <w:r>
              <w:rPr/>
              <w:t xml:space="preserve">157,625 ՄՀց</w:t>
            </w:r>
          </w:p>
          <w:p>
            <w:pPr/>
            <w:r>
              <w:rPr/>
              <w:t xml:space="preserve">158,150 ՄՀց</w:t>
            </w:r>
          </w:p>
          <w:p>
            <w:pPr/>
            <w:r>
              <w:rPr/>
              <w:t xml:space="preserve">158,525 ՄՀց</w:t>
            </w:r>
          </w:p>
          <w:p>
            <w:pPr/>
            <w:r>
              <w:rPr/>
              <w:t xml:space="preserve">160,025 ՄՀց</w:t>
            </w:r>
          </w:p>
          <w:p>
            <w:pPr/>
            <w:r>
              <w:rPr/>
              <w:t xml:space="preserve">160,775 ՄՀց</w:t>
            </w:r>
          </w:p>
          <w:p>
            <w:pPr/>
            <w:r>
              <w:rPr/>
              <w:t xml:space="preserve">161,200 ՄՀց</w:t>
            </w:r>
          </w:p>
          <w:p>
            <w:pPr/>
            <w:r>
              <w:rPr/>
              <w:t xml:space="preserve">161,550 ՄՀց</w:t>
            </w:r>
          </w:p>
          <w:p>
            <w:pPr/>
            <w:r>
              <w:rPr/>
              <w:t xml:space="preserve">161,725 ՄՀց</w:t>
            </w:r>
          </w:p>
          <w:p>
            <w:pPr/>
            <w:r>
              <w:rPr/>
              <w:t xml:space="preserve">161,875 ՄՀց</w:t>
            </w:r>
          </w:p>
        </w:tc>
        <w:tc>
          <w:tcPr>
            <w:tcW w:w="3810" w:type="dxa"/>
            <w:noWrap/>
          </w:tcPr>
          <w:p>
            <w:pPr/>
            <w:r>
              <w:rPr/>
              <w:t xml:space="preserve">163,550 ՄՀց</w:t>
            </w:r>
          </w:p>
          <w:p>
            <w:pPr/>
            <w:r>
              <w:rPr/>
              <w:t xml:space="preserve">166,550 ՄՀց</w:t>
            </w:r>
          </w:p>
          <w:p>
            <w:pPr/>
            <w:r>
              <w:rPr/>
              <w:t xml:space="preserve">166,875 ՄՀց     </w:t>
            </w:r>
          </w:p>
          <w:p>
            <w:pPr/>
            <w:r>
              <w:rPr/>
              <w:t xml:space="preserve">               189,0 ՄՀց</w:t>
            </w:r>
          </w:p>
          <w:p>
            <w:pPr/>
            <w:r>
              <w:rPr/>
              <w:t xml:space="preserve">196,2 ՄՀց</w:t>
            </w:r>
          </w:p>
          <w:p>
            <w:pPr/>
            <w:r>
              <w:rPr/>
              <w:t xml:space="preserve">197,0 ՄՀց</w:t>
            </w:r>
          </w:p>
          <w:p>
            <w:pPr/>
            <w:r>
              <w:rPr/>
              <w:t xml:space="preserve">221,4 ՄՀց</w:t>
            </w:r>
          </w:p>
          <w:p>
            <w:pPr/>
            <w:r>
              <w:rPr/>
              <w:t xml:space="preserve">220-230 ՄՀց</w:t>
            </w:r>
          </w:p>
          <w:p>
            <w:pPr/>
            <w:r>
              <w:rPr/>
              <w:t xml:space="preserve">300-308 ՄՀց</w:t>
            </w:r>
          </w:p>
          <w:p>
            <w:pPr/>
            <w:r>
              <w:rPr/>
              <w:t xml:space="preserve">335,4-344,0 ՄՀց</w:t>
            </w:r>
          </w:p>
          <w:p>
            <w:pPr/>
            <w:r>
              <w:rPr/>
              <w:t xml:space="preserve">390-400 ՄՀց</w:t>
            </w:r>
          </w:p>
          <w:p>
            <w:pPr/>
            <w:r>
              <w:rPr/>
              <w:t xml:space="preserve">404-406 ՄՀց</w:t>
            </w:r>
          </w:p>
          <w:p>
            <w:pPr/>
            <w:r>
              <w:rPr/>
              <w:t xml:space="preserve">406-406,1 ՄՀց</w:t>
            </w:r>
          </w:p>
          <w:p>
            <w:pPr/>
            <w:r>
              <w:rPr/>
              <w:t xml:space="preserve">410-425 ՄՀց</w:t>
            </w:r>
          </w:p>
          <w:p>
            <w:pPr/>
            <w:r>
              <w:rPr/>
              <w:t xml:space="preserve">(բացառությամբ՝</w:t>
            </w:r>
          </w:p>
          <w:p>
            <w:pPr/>
            <w:r>
              <w:rPr/>
              <w:t xml:space="preserve">414,300 ՄՀց</w:t>
            </w:r>
          </w:p>
          <w:p>
            <w:pPr/>
            <w:r>
              <w:rPr/>
              <w:t xml:space="preserve">419,800 ՄՀց</w:t>
            </w:r>
          </w:p>
          <w:p>
            <w:pPr/>
            <w:r>
              <w:rPr/>
              <w:t xml:space="preserve">421,100 ՄՀց</w:t>
            </w:r>
          </w:p>
          <w:p>
            <w:pPr/>
            <w:r>
              <w:rPr/>
              <w:t xml:space="preserve">421,500 ՄՀց)</w:t>
            </w:r>
          </w:p>
          <w:p>
            <w:pPr/>
            <w:r>
              <w:rPr/>
              <w:t xml:space="preserve">450-470 ՄՀց</w:t>
            </w:r>
          </w:p>
          <w:p>
            <w:pPr/>
            <w:r>
              <w:rPr/>
              <w:t xml:space="preserve">(բացառությամբ՝</w:t>
            </w:r>
          </w:p>
          <w:p>
            <w:pPr/>
            <w:r>
              <w:rPr/>
              <w:t xml:space="preserve">451,65 ՄՀց)</w:t>
            </w:r>
          </w:p>
          <w:p>
            <w:pPr/>
            <w:r>
              <w:rPr/>
              <w:t xml:space="preserve">475-525 ՄՀց</w:t>
            </w:r>
          </w:p>
          <w:p>
            <w:pPr/>
            <w:r>
              <w:rPr/>
              <w:t xml:space="preserve">664-672 ՄՀց</w:t>
            </w:r>
          </w:p>
          <w:p>
            <w:pPr/>
            <w:r>
              <w:rPr/>
              <w:t xml:space="preserve">1480-1710 ՄՀց</w:t>
            </w:r>
          </w:p>
          <w:p>
            <w:pPr/>
            <w:r>
              <w:rPr/>
              <w:t xml:space="preserve">1785-1805ՄՀց</w:t>
            </w:r>
          </w:p>
          <w:p>
            <w:pPr/>
            <w:r>
              <w:rPr/>
              <w:t xml:space="preserve">1880-1910ՄՀց</w:t>
            </w:r>
          </w:p>
          <w:p>
            <w:pPr/>
            <w:r>
              <w:rPr/>
              <w:t xml:space="preserve">1915-1920 ՄՀց</w:t>
            </w:r>
          </w:p>
          <w:p>
            <w:pPr/>
            <w:r>
              <w:rPr/>
              <w:t xml:space="preserve">1980-2000 ՄՀց</w:t>
            </w:r>
          </w:p>
          <w:p>
            <w:pPr/>
            <w:r>
              <w:rPr/>
              <w:t xml:space="preserve">2400-2520 ՄՀց</w:t>
            </w:r>
          </w:p>
          <w:p>
            <w:pPr/>
            <w:r>
              <w:rPr/>
              <w:t xml:space="preserve">3400-3936 ՄՀց</w:t>
            </w:r>
          </w:p>
          <w:p>
            <w:pPr/>
            <w:r>
              <w:rPr/>
              <w:t xml:space="preserve">4000-4200 ՄՀց</w:t>
            </w:r>
          </w:p>
          <w:p>
            <w:pPr/>
            <w:r>
              <w:rPr/>
              <w:t xml:space="preserve">(բացառությամբ՝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4084,2875 ՄՀց)</w:t>
            </w:r>
          </w:p>
          <w:p>
            <w:pPr/>
            <w:r>
              <w:rPr/>
              <w:t xml:space="preserve">4400-4575 ՄՀց</w:t>
            </w:r>
          </w:p>
          <w:p>
            <w:pPr/>
            <w:r>
              <w:rPr/>
              <w:t xml:space="preserve">4610-4800 ՄՀց</w:t>
            </w:r>
          </w:p>
          <w:p>
            <w:pPr/>
            <w:r>
              <w:rPr/>
              <w:t xml:space="preserve">5700-6300 ՄՀց</w:t>
            </w:r>
          </w:p>
          <w:p>
            <w:pPr/>
            <w:r>
              <w:rPr/>
              <w:t xml:space="preserve">6524 ՄՀց</w:t>
            </w:r>
          </w:p>
          <w:p>
            <w:pPr/>
            <w:r>
              <w:rPr/>
              <w:t xml:space="preserve">6564 ՄՀց</w:t>
            </w:r>
          </w:p>
          <w:p>
            <w:pPr/>
            <w:r>
              <w:rPr/>
              <w:t xml:space="preserve">6620-7084 ՄՀց</w:t>
            </w:r>
          </w:p>
          <w:p>
            <w:pPr/>
            <w:r>
              <w:rPr/>
              <w:t xml:space="preserve">7250-7550 ՄՀց</w:t>
            </w:r>
          </w:p>
          <w:p>
            <w:pPr/>
            <w:r>
              <w:rPr/>
              <w:t xml:space="preserve">7900-8175 ՄՀց</w:t>
            </w:r>
          </w:p>
          <w:p>
            <w:pPr/>
            <w:r>
              <w:rPr/>
              <w:t xml:space="preserve">(բացառությամբ՝</w:t>
            </w:r>
          </w:p>
          <w:p>
            <w:pPr/>
            <w:r>
              <w:rPr/>
              <w:t xml:space="preserve">  7 926 ՄՀց</w:t>
            </w:r>
          </w:p>
          <w:p>
            <w:pPr/>
            <w:r>
              <w:rPr/>
              <w:t xml:space="preserve">  7 982 ՄՀց</w:t>
            </w:r>
          </w:p>
          <w:p>
            <w:pPr/>
            <w:r>
              <w:rPr/>
              <w:t xml:space="preserve">  8 038 ՄՀց</w:t>
            </w:r>
          </w:p>
          <w:p>
            <w:pPr/>
            <w:r>
              <w:rPr/>
              <w:t xml:space="preserve">  8 094 ՄՀց</w:t>
            </w:r>
          </w:p>
          <w:p>
            <w:pPr/>
            <w:r>
              <w:rPr/>
              <w:t xml:space="preserve">   8 150 ՄՀց)</w:t>
            </w:r>
          </w:p>
          <w:p>
            <w:pPr/>
            <w:r>
              <w:rPr/>
              <w:t xml:space="preserve">       10,734-10,816 ԳՀց</w:t>
            </w:r>
          </w:p>
          <w:p>
            <w:pPr/>
            <w:r>
              <w:rPr/>
              <w:t xml:space="preserve">11,0-12,0 ԳՀց</w:t>
            </w:r>
          </w:p>
          <w:p>
            <w:pPr/>
            <w:r>
              <w:rPr/>
              <w:t xml:space="preserve">   12,50-12,53 ԳՀց</w:t>
            </w:r>
          </w:p>
          <w:p>
            <w:pPr/>
            <w:r>
              <w:rPr/>
              <w:t xml:space="preserve">   12,54-13,25 ԳՀց</w:t>
            </w:r>
          </w:p>
          <w:p>
            <w:pPr/>
            <w:r>
              <w:rPr/>
              <w:t xml:space="preserve">    13,45-14,03 ԳՀց</w:t>
            </w:r>
          </w:p>
          <w:p>
            <w:pPr/>
            <w:r>
              <w:rPr/>
              <w:t xml:space="preserve">    14,05-15,40 ԳՀց</w:t>
            </w:r>
          </w:p>
          <w:p>
            <w:pPr/>
            <w:r>
              <w:rPr/>
              <w:t xml:space="preserve">    16,60-17,34 ԳՀց</w:t>
            </w:r>
          </w:p>
          <w:p>
            <w:pPr/>
            <w:r>
              <w:rPr/>
              <w:t xml:space="preserve">   31,8-36,0 ԳՀց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       2) Աղյուսակի 3-րդ բաժնի 7-րդ կետի 150.1-րդ ենթակետում «10.7-12.7 ԳՀց և 14.0-14.5 ԳՀց» բառերը փոխարինել «10.7-12.7 ԳՀց, 14.0-14.5 ԳՀց, 17,3-20,2 ԳՀց և 27,5-30,0 ԳՀց» բառերով: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ՄԽԻԹԱՐ  ՀԱՅՐԱՊԵՏՅԱՆ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11D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2026-04-03T17:57:45+04:00</dcterms:created>
  <dcterms:modified xsi:type="dcterms:W3CDTF">2026-04-03T17:57:45+04:00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