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«ԵՎՐԱՍԻԱԿԱՆ ՏՆՏԵՍԱԿԱՆ ՄԻՈՒԹՅՈՒՆՈՒՄ ՓՈԽԱԴՐՈՒՄՆԵՐԻ ՀԵՏԱԳԾՄԱՆ ՀԱՄԱՐ ՏԵՂՈՐՈՇՄԱՆ ԿԱՊԱՐԱԿՆԻՔՆԵՐԻ ՕԳՏԱԳՈՐԾՄԱՆ ՄԱՍԻՆ» 2022 ԹՎԱԿԱՆԻ ԱՊՐԻԼԻ 19-ԻՆ ՍՏՈՐԱԳՐՎԱԾ ՀԱՄԱՁԱՅՆԱԳՐՈՎ ՍԱՀՄԱՆՎԱԾ ՎԵՐԱՀՍԿՈՂ ՄԱՐՄՆԻ ԵՎ ԼԻԱԶՈՐՎԱԾ ՕՊԵՐԱՏՈՐԻ ՄԻՋԵՎ ՓՈԽԳՈՐԾԱԿՑՈՒԹՅԱՆ ԿԱՐԳԸ ՍԱՀՄԱՆԵԼՈՒ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2024 թվականի ______ N__-Ն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«ԵՎՐԱՍԻԱԿԱՆ ՏՆՏԵՍԱԿԱՆ ՄԻՈՒԹՅՈՒՆՈՒՄ ՓՈԽԱԴՐՈՒՄՆԵՐԻ ՀԵՏԱԳԾՄԱՆ ՀԱՄԱՐ ՏԵՂՈՐՈՇՄԱՆ ԿԱՊԱՐԱԿՆԻՔՆԵՐԻ ՕԳՏԱԳՈՐԾՄԱՆ ՄԱՍԻՆ» 2022 ԹՎԱԿԱՆԻ ԱՊՐԻԼԻ 19-ԻՆ ՍՏՈՐԱԳՐՎԱԾ ՀԱՄԱՁԱՅՆԱԳՐՈՎ ՍԱՀՄԱՆՎԱԾ ՎԵՐԱՀՍԿՈՂ ՄԱՐՄՆԻ ԵՎ ԼԻԱԶՈՐՎԱԾ ՕՊԵՐԱՏՈՐԻ ՄԻՋԵՎ ՓՈԽԳՈՐԾԱԿՑՈՒԹՅԱՆ ԿԱՐԳԸ ՍԱՀՄԱՆԵԼՈՒ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«Եվրասիական տնտեսական միությունում ապրանքների փոխադրման հետագծելիության նպատակով տեղորոշման կապարակնիքների օգտագործման մասին» 2022 թվականի ապրիլի 19-ին ստորագրված համաձայնագրի (այսուհետ՝ Համաձայնագիր) 13-րդ հոդվածի 1-ին կետի 3-րդ պարբերությանը և 2-րդ կետին համապատասխան`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Սահմանել Համաձայնագրի 1-ին հոդվածի 5-րդ պարբերությամբ սահմանված վերահսկող մարմնի (այսուհետ՝ վերահսկող մարմին) և Համաձայնագրի 4-րդ հոդվածի 3-րդ կետի 1-ին պարբերությամբ սահմանված լիազորված օպերատորի (այսուհետ՝ լիազորված օպերատոր) միջև փոխգործակցության կարգը՝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օրը, բացառությամբ սույն որոշմամբ սահմանված կարգի 2-րդ կետի 1-ին ենթակետի, որն ուժի մեջ է մտնում պաշտոնական հրապարակման օրն ընդգրկող ամսվան հաջորդող 13-րդ ամսվա 1-ից: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«____» __________ ____</w:t>
      </w:r>
    </w:p>
    <w:p>
      <w:pPr>
        <w:jc w:val="end"/>
      </w:pPr>
      <w:r>
        <w:rPr/>
        <w:t xml:space="preserve">N____-Ն որոշման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ԿԱՐԳ</w:t>
      </w:r>
    </w:p>
    <w:p>
      <w:pPr>
        <w:jc w:val="center"/>
      </w:pPr>
      <w:r>
        <w:rPr/>
        <w:t xml:space="preserve">ՎԵՐԱՀՍԿՈՂ ՄԱՐՄՆԻ ԵՎ ԼԻԱԶՈՐՎԱԾ ՕՊԵՐԱՏՈՐԻ ՄԻՋԵՎ ՓՈԽԳՈՐԾԱԿՑՈՒԹՅԱՆ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Համաձայնագրի շրջանակներում վերահսկող մարմնի և լիազորված օպերատորի միջև փոխգործակցության հետ կապված հարաբերությունները։</w:t>
      </w:r>
    </w:p>
    <w:p>
      <w:pPr>
        <w:numPr>
          <w:ilvl w:val="0"/>
          <w:numId w:val="3"/>
        </w:numPr>
      </w:pPr>
      <w:r>
        <w:rPr/>
        <w:t xml:space="preserve">Լիազորված օպերատորը սույն կարգով սահմանված տեղեկությունների՝ վերահսկող մարմնին տրամադրման նպատակով, ապահովում է իր կողմից կիրառվող համակարգին վերահսկող մարմնի համար հասանելիություն հետևյալ ձևաչափերով՝ պահպանելով անձնական տվյալների պաշտպանության մասին Հայաստանի Հանրապետության օրենսդրությամբ սահմանված պահանջները՝</w:t>
      </w:r>
    </w:p>
    <w:p>
      <w:pPr>
        <w:numPr>
          <w:ilvl w:val="0"/>
          <w:numId w:val="4"/>
        </w:numPr>
      </w:pPr>
      <w:r>
        <w:rPr/>
        <w:t xml:space="preserve">լիազորված օպերատորի կողմից կիրառվող համակարգից «Հայաստանի Հանրապետության արտաքին առևտրի ազգային մեկ պատուհան» (trade.gօv.am) հարթակի միջոցով վերահսկող մարմնին կիրառական ավտոմատացված ծրագրային ինտերֆեյսի (API) կիրառմամբ տվյալների տրամադրմամբ,</w:t>
      </w:r>
    </w:p>
    <w:p>
      <w:pPr>
        <w:numPr>
          <w:ilvl w:val="0"/>
          <w:numId w:val="4"/>
        </w:numPr>
      </w:pPr>
      <w:r>
        <w:rPr/>
        <w:t xml:space="preserve">մինչև սույն կետի 1-ին ենթակետով նախատեսված ձևաչափի գործարկումը, ինչպես նաև անհաղթահարելի ուժի առկայության դեպքերում՝ վերահսկող մարմնի պահանջով լիազորված օպերատորի կողմից կիրառվող համակարգից օգտվելու հասանելիության տրամադրմամբ,</w:t>
      </w:r>
    </w:p>
    <w:p>
      <w:pPr>
        <w:numPr>
          <w:ilvl w:val="0"/>
          <w:numId w:val="4"/>
        </w:numPr>
      </w:pPr>
      <w:r>
        <w:rPr/>
        <w:t xml:space="preserve">սույն կետի 1-ին կամ 2-րդ ենթակետերով նախատեսված ձևաչափերով սույն որոշմամբ սահմանված որոշ տվյալների տրամադրման անհնարինության դեպքում՝ վերահսկող մարմնի հարցմամբ լիազորված օպերատորի կողմից կիրառվող համակարգից համապատասխան տվյալների տրամադրմամբ։</w:t>
      </w:r>
    </w:p>
    <w:p>
      <w:pPr>
        <w:numPr>
          <w:ilvl w:val="0"/>
          <w:numId w:val="5"/>
        </w:numPr>
      </w:pPr>
      <w:r>
        <w:rPr/>
        <w:t xml:space="preserve">Սույն հավելվածի 2-րդ կետի 2-րդ ենթակետով նախատեսված պահանջը և 3-րդ ենթակետով նախատեսված հարցումը վերահսկող մարմնի կողմից ներկայացվում են էլեկտրոնային փոստի միջոցով, իսկ նշված պահանջի կատարումը կամ վերահսկող մարմնի հարցմամբ համապատասխան տվյալների տրամադրումը լիազորված օպերատորը ապահովում է նշված պահանջը կամ հարցումը ստանալուց հեոո՝ մեկ աշխատանքային օրվա ընթացքում՝ էլեկտրոնային փոստի միջոցով։</w:t>
      </w:r>
    </w:p>
    <w:p>
      <w:pPr>
        <w:numPr>
          <w:ilvl w:val="0"/>
          <w:numId w:val="5"/>
        </w:numPr>
      </w:pPr>
      <w:r>
        <w:rPr/>
        <w:t xml:space="preserve">Համաձայնագրի 13-րդ հոդվածի 1-ին կետի 2-րդ պարբերության շրջանակներում սույն հավելվածի 2-րդ կետին համապատասխան տրամադրված հասանելիության միջոցով լիազորված օպերատորը պետք է ապահովի վերահսկող մարմնին Համաձայնագրի 7-րդ հոդվածի 1-ին և 2-րդ կետերով սահմանված տեղեկատվության, սույն հավելվածի 5-րդ կետով սահմանված տեղեկատվության, Եվրասիական տնտեսական հանձնաժողովի կոլեգիայի 2023 թվականի սեպտեմբերի 14-ի N 138 որոշման 1-ին կետով սահմանված տեղեկատվության, Եվրասիական տնտեսական հանձնաժողովի խորհրդի 2023 թվականի օգոստոսի 29-ի N 81 որոշման 1-ին կետով սահմանված տեղեկատվության տրամադրումը։</w:t>
      </w:r>
    </w:p>
    <w:p>
      <w:pPr>
        <w:numPr>
          <w:ilvl w:val="0"/>
          <w:numId w:val="5"/>
        </w:numPr>
      </w:pPr>
      <w:r>
        <w:rPr/>
        <w:t xml:space="preserve">Վերահսկող մարմնի և լիազորված օպերատորի միջև տեղեկատվական փոխգործակցության շրջանակներում`</w:t>
      </w:r>
    </w:p>
    <w:p>
      <w:pPr>
        <w:numPr>
          <w:ilvl w:val="0"/>
          <w:numId w:val="6"/>
        </w:numPr>
      </w:pPr>
      <w:r>
        <w:rPr/>
        <w:t xml:space="preserve">լիազորված օպերատորը վերահսկող մարմնին է տրամադրում հետևյալ տեղեկությունները՝</w:t>
      </w:r>
    </w:p>
    <w:p>
      <w:pPr>
        <w:jc w:val="both"/>
      </w:pPr>
      <w:r>
        <w:rPr/>
        <w:t xml:space="preserve">ա) յուրաքանչյուր հետագծման օբյեկտի նկատմամբ հետագծման մեկնարկի և ավարտի ժամկետների մասին.</w:t>
      </w:r>
    </w:p>
    <w:p>
      <w:pPr>
        <w:jc w:val="both"/>
      </w:pPr>
      <w:r>
        <w:rPr/>
        <w:t xml:space="preserve">բ) Եվրասիական տնտեսական հանձնաժողովի կոլեգիայի 2023 թվականի օգոստոսի 22-ի N 127 որոշմամբ հաստատված կարգի 7-րդ կետի «в» ենթակետին համապատասխան՝ անդամ պետությունների տարածքներով հետագծման օբյեկտի փոխադրման ընթացքում արտակարգ իրավիճակների առաջացման և (կամ) չարտոնված գործողությունների առաջացման մասին.</w:t>
      </w:r>
    </w:p>
    <w:p>
      <w:pPr>
        <w:jc w:val="both"/>
      </w:pPr>
      <w:r>
        <w:rPr/>
        <w:t xml:space="preserve">գ) Եվրասիական տնտեսական հանձնաժողովի կոլեգիայի 2023 թվականի օգոստոսի 22-ի N 129 որոշմամբ հաստատված կարգի 9-րդ կետին համապատասխան՝ նույն կարգի 8-րդ կետի առաջին պարբերությամբ սահմանված փոխադրման հետագծման մեկնարկի մասին.</w:t>
      </w:r>
    </w:p>
    <w:p>
      <w:pPr>
        <w:numPr>
          <w:ilvl w:val="0"/>
          <w:numId w:val="7"/>
        </w:numPr>
      </w:pPr>
      <w:r>
        <w:rPr/>
        <w:t xml:space="preserve">վերահսկող մարմինը լիազորված օպերատորին է տրամադրում հետևյալ տեղեկությունները՝</w:t>
      </w:r>
    </w:p>
    <w:p>
      <w:pPr>
        <w:jc w:val="both"/>
      </w:pPr>
      <w:r>
        <w:rPr/>
        <w:t xml:space="preserve">ա) Եվրասիական տնտեսական հանձնաժողովի կոլեգիայի 2023 թվականի օգոստոսի 22-ի N 127 որոշմամբ հաստատված կարգի 8-րդ կետի «а» և «в» ենթակետերին համապատասխան՝ տեղեկատվության ստացման և ընդունված որոշման վերաբերյալ.</w:t>
      </w:r>
    </w:p>
    <w:p>
      <w:pPr>
        <w:jc w:val="both"/>
      </w:pPr>
      <w:r>
        <w:rPr/>
        <w:t xml:space="preserve">բ) Եվրասիական տնտեսական հանձնաժողովի կոլեգիայի 2023 թվականի օգոստոսի 22-ի N 128 որոշման 1-ին կետի 3-րդ պարբերությամբ սահմանված կարգի 2-րդ կետի 1-ին պարբերությամբ սահմանված փաստաթղթերը և տեղեկատվությունը` մաքսային մարմնի կողմից տեղորոշման կապարակնիք կիրառելու մասին որոշում կայացնելու դեպքում.</w:t>
      </w:r>
    </w:p>
    <w:p>
      <w:pPr>
        <w:jc w:val="both"/>
      </w:pPr>
      <w:r>
        <w:rPr/>
        <w:t xml:space="preserve">գ) Եվրասիական տնտեսական հանձնաժողովի կոլեգիայի 2023 թվականի օգոստոսի 22-ի N 129 որոշմամբ հաստատված կարգի 5-րդ կետին համապատասխան՝ տեղորոշման կապարակնիքի ակտիվացման նպատակով համապատասխան էլեկտրոնային փաստաղթերը (տեղեկատվությունը).</w:t>
      </w:r>
    </w:p>
    <w:p>
      <w:pPr>
        <w:jc w:val="both"/>
      </w:pPr>
      <w:r>
        <w:rPr/>
        <w:t xml:space="preserve">դ) Եվրասիական տնտեսական հանձնաժողովի կոլեգիայի 2023 թվականի օգոստոսի 22-ի N 129 որոշմամբ հաստատված կարգի 10-րդ կետին համապատասխան՝ տեղորոշման կապարակնիքի ապաակտիվացման թույլտվության վերաբերյալ.</w:t>
      </w:r>
    </w:p>
    <w:p>
      <w:pPr>
        <w:jc w:val="both"/>
      </w:pPr>
      <w:r>
        <w:rPr/>
        <w:t xml:space="preserve">ե) Եվրասիական տնտեսական հանձնաժողովի կոլեգիայի 2023 թվականի օգոստոսի 22-ի N 130 որոշմամբ հաստատված կարգի 5-րդ կետին համապատասխան՝ նույն կարգի 4-րդ կետով սահմանված տեղեկատվությունը.</w:t>
      </w:r>
    </w:p>
    <w:p>
      <w:pPr>
        <w:jc w:val="both"/>
      </w:pPr>
      <w:r>
        <w:rPr/>
        <w:t xml:space="preserve">զ) Եվրասիական տնտեսական հանձնաժողովի կոլեգիայի 2024 թվականի փետրվարի 20-ի N 12 որոշման 1-ին կետի երկրորդ պարբերությամբ հաստատված կարգի 7-րդ կետին համապատասխան՝ տեղորոշման կապարակնիքը հանելու թույլտվության վերաբերյալ.</w:t>
      </w:r>
    </w:p>
    <w:p>
      <w:pPr>
        <w:jc w:val="both"/>
      </w:pPr>
      <w:r>
        <w:rPr/>
        <w:t xml:space="preserve">է) Եվրասիական տնտեսական հանձնաժողովի կոլեգիայի 2024 թվականի փետրվարի 20-ի N 12 որոշման 1-ին կետի երկրորդ պարբերությամբ հաստատված կարգի 10-րդ կետին համապատասխան՝ նույն կետով սահմանված գործողություններից որևէ մեկի կատարման անհրաժեշտության մասին.</w:t>
      </w:r>
    </w:p>
    <w:p>
      <w:pPr>
        <w:jc w:val="both"/>
      </w:pPr>
      <w:r>
        <w:rPr/>
        <w:t xml:space="preserve">ը) Եվրասիական տնտեսական հանձնաժողովի կոլեգիայի 2024 թվականի փետրվարի 20-ի N 12 որոշման 1-ին կետի երրորդ պարբերությամբ հաստատված կարգի 4-րդ կետի երկրորդ պարբերության համապատասխան՝ նույն կետի առաջին պարբերությամբ սահմանված տեղորոշման կապարակնիքի փոխարինման մասին ընդունված որոշման և դրա ընդունման պատճառների վերաբերյալ,</w:t>
      </w:r>
    </w:p>
    <w:p>
      <w:pPr>
        <w:jc w:val="both"/>
      </w:pPr>
      <w:r>
        <w:rPr/>
        <w:t xml:space="preserve">3) Եվրասիական տնտեսական հանձնաժողովի կոլեգիայի 2024 թվականի փետրվարի 20-ի N 12 որոշման 1-ին կետի երրորդ պարբերությամբ հաստատված կարգի 5-րդ կետի «б» ենթակետին համապատասխան՝ նույն կետի «а» ենթակետով նախատեսված տեղեկատվության ստացումից հետո լիազորված օպերատորը վերահսկող մարմնի հետ համաձայնեցնում է տեղորոշման կապարակնիքի փոխարինման վայրը և ժամանակը։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4BB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8A2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0B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FAD29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717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B1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2026-03-31T12:54:36+04:00</dcterms:created>
  <dcterms:modified xsi:type="dcterms:W3CDTF">2026-03-31T12:54:36+04:00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