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ՄԱՐՏԻ 23-Ի N 356-Լ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____________________2024 թվականի   N  - 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2023 ԹՎԱԿԱՆԻ ՄԱՐՏԻ 23-Ի N 356-Լ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Հիմք ընդունելով «Նորմատիվ իրավական ակտերի մասին» օրենքի 33-րդ հոդվածի 1-ին մասը և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մարտի 23-ի «Հայաստանի Հանրապետության սննդամթերքի անվտանգության համակարգի զարգացման ռազմավարությունը և դրանից բխող 2023-2028 թվականների գործողությունների ծրագիրը հաստատելու մասին» N 356-Լ որոշման N 2 հավելվածում </w:t>
      </w:r>
      <w:r>
        <w:rPr>
          <w:b w:val="1"/>
          <w:bCs w:val="1"/>
        </w:rPr>
        <w:t xml:space="preserve">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1-ին կետի 1․2-րդ ենթակետը շարադրել հետևյալ խմբագրությամբ․</w:t>
      </w:r>
    </w:p>
    <w:p>
      <w:pPr/>
      <w:r>
        <w:rPr/>
        <w:t xml:space="preserve">«</w:t>
      </w:r>
    </w:p>
    <w:tbl>
      <w:tblGrid>
        <w:gridCol w:w="540" w:type="dxa"/>
        <w:gridCol w:w="2070" w:type="dxa"/>
        <w:gridCol w:w="900" w:type="dxa"/>
        <w:gridCol w:w="1980" w:type="dxa"/>
        <w:gridCol w:w="1440" w:type="dxa"/>
        <w:gridCol w:w="900" w:type="dxa"/>
        <w:gridCol w:w="1890" w:type="dxa"/>
        <w:gridCol w:w="1350" w:type="dxa"/>
      </w:tblGrid>
      <w:tblPr>
        <w:tblW w:w="11070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1․2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««Սննդամթերքի անվտանգության պետական վերահսկողության մասին» օրենքում փոփոխություններ և լրացումներ կատարելու մասին», ««Սննդամթերքի անվտանգության մասին» օրենքում փոփոխություններ և լրացումներ կատարելու մասին», ««Կերի մասին» օրենքում փոփոխություններ և լրացումներ կատարելու մասին», ««Բուսասանիտարիայի մասին» օրենքում փոփոխություններ և լրացումներ կատարելու մասին», ««Անասնաբուժության մասին» օրենքում փոփոխություններ և լրացում կատարելու մասին», օրենքների նախագծերը ՀՀ վարչապետի աշխատակազմ ներկայացնելը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Բարձր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Սննդամթերքի անվտանգության ոլորտում  քաղաքականության մշակման, թույլտվական փաստաթղթերի տրամադրման և վերահսկողության իրականացման գործառույթների և դրանք իրականացնող մարմինների տարանջատում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Օրենքների նախագծերի ընդունմամբ կբացառվի շահերի բախումը և կապահովվի վերահսկողության իրականացման արդյունավետությունը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2026թ․ հուլիսի երրորդ տասնօրյակ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Տեսչական մարմինների աշխատանքների համակարգման գրասենյակ</w:t>
            </w:r>
          </w:p>
          <w:p>
            <w:pPr/>
            <w:r>
              <w:rPr/>
              <w:t xml:space="preserve">ՀՀ էկոնոմիկայի նախարարություն</w:t>
            </w:r>
          </w:p>
          <w:p>
            <w:pPr/>
            <w:r>
              <w:rPr/>
              <w:t xml:space="preserve">Սննդամթերքի անվտանգության տեսչական մարմին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1-ին կետի 1․3-րդ ենթակետի «Վերջնաժամկետը» սյունակում «2023թ.» թիվը փոխարինել «2026թ.» թվով, իսկ «Պատասխանատու կառույցը» սյունակում «ՀՀ էկոնոմիկայի նախարարություն» բառերը փոխարինել «Տեսչական մարմինների աշխատանքների համակարգման գրասենյակ» բառերով․</w:t>
      </w:r>
    </w:p>
    <w:p>
      <w:pPr>
        <w:numPr>
          <w:ilvl w:val="0"/>
          <w:numId w:val="4"/>
        </w:numPr>
      </w:pPr>
      <w:r>
        <w:rPr/>
        <w:t xml:space="preserve">ուժը կորցրած ճանաչել․</w:t>
      </w:r>
    </w:p>
    <w:p>
      <w:pPr/>
      <w:r>
        <w:rPr/>
        <w:t xml:space="preserve">ա․ 2-րդ կետի 2․1-ին ենթակետը․</w:t>
      </w:r>
    </w:p>
    <w:p>
      <w:pPr/>
      <w:r>
        <w:rPr/>
        <w:t xml:space="preserve">բ․ 3-րդ կետի 3․1-ին, 3․2-րդ, 3․3-րդ ենթակետերը․</w:t>
      </w:r>
    </w:p>
    <w:p>
      <w:pPr/>
      <w:r>
        <w:rPr/>
        <w:t xml:space="preserve">գ․ 4-րդ կետի 4․2-րդ և 4․3-րդ ենթակետերը․</w:t>
      </w:r>
    </w:p>
    <w:p>
      <w:pPr>
        <w:numPr>
          <w:ilvl w:val="0"/>
          <w:numId w:val="5"/>
        </w:numPr>
      </w:pPr>
      <w:r>
        <w:rPr/>
        <w:t xml:space="preserve">6-րդ կետի 6․1-ին ենթակետը շարադրել հետևյալ խմբագրությամբ․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 «                                                                      </w:t>
      </w:r>
    </w:p>
    <w:tbl>
      <w:tblGrid>
        <w:gridCol w:w="540" w:type="dxa"/>
        <w:gridCol w:w="2145" w:type="dxa"/>
        <w:gridCol w:w="810" w:type="dxa"/>
        <w:gridCol w:w="1560" w:type="dxa"/>
        <w:gridCol w:w="1620" w:type="dxa"/>
        <w:gridCol w:w="990" w:type="dxa"/>
        <w:gridCol w:w="1890" w:type="dxa"/>
        <w:gridCol w:w="1350" w:type="dxa"/>
      </w:tblGrid>
      <w:tblPr>
        <w:tblW w:w="10920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6․1</w:t>
            </w:r>
          </w:p>
        </w:tc>
        <w:tc>
          <w:tcPr>
            <w:tcW w:w="2145" w:type="dxa"/>
            <w:noWrap/>
          </w:tcPr>
          <w:p>
            <w:pPr/>
            <w:r>
              <w:rPr/>
              <w:t xml:space="preserve">«Սննդամթերքի անվտանգության ոլորտի մասնագետների վերապատրաստման կարգը հաստատելու մասին» նախագիծը ՀՀ վարչապետի աշխատակազմ ներկայացնելը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Միջին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Սննդամթերքի անվտանգության ոլորտի մասնագետների շարունակական վերապատրաստում և կարողությունների բարելավում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Սննդամթերքի անվտանգության ոլորտի մասնագետների վերապատրաստման կարգի մշակում և ներկայացում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2028թ․ հուլիսի երրորդ տասնօրյակ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ՀՀ էկոնոմիկայի նախարարություն</w:t>
            </w:r>
          </w:p>
          <w:p>
            <w:pPr/>
            <w:r>
              <w:rPr/>
              <w:t xml:space="preserve">Սննդամթերքի անվտանգության տեսչական մարմին</w:t>
            </w:r>
          </w:p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»: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                    Ն․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19A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24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0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8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300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2026-03-31T10:37:34+04:00</dcterms:created>
  <dcterms:modified xsi:type="dcterms:W3CDTF">2026-03-31T10:37:34+04:00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